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202</w:t>
      </w:r>
      <w:r>
        <w:rPr>
          <w:rFonts w:ascii="方正小标宋_GBK" w:hAnsi="方正小标宋_GBK" w:eastAsia="方正小标宋_GBK" w:cs="方正小标宋_GBK"/>
          <w:color w:val="000000"/>
          <w:sz w:val="44"/>
          <w:szCs w:val="44"/>
        </w:rPr>
        <w:t>3</w:t>
      </w:r>
      <w:r>
        <w:rPr>
          <w:rFonts w:hint="eastAsia" w:ascii="方正小标宋_GBK" w:hAnsi="方正小标宋_GBK" w:eastAsia="方正小标宋_GBK" w:cs="方正小标宋_GBK"/>
          <w:color w:val="000000"/>
          <w:sz w:val="44"/>
          <w:szCs w:val="44"/>
        </w:rPr>
        <w:t>年连云港市海州区低压成套开关设备     产品质量监督抽查实施细则</w:t>
      </w:r>
    </w:p>
    <w:p>
      <w:pPr>
        <w:spacing w:line="560" w:lineRule="exact"/>
        <w:rPr>
          <w:rFonts w:asciiTheme="minorEastAsia" w:hAnsiTheme="minorEastAsia" w:cstheme="minorEastAsia"/>
          <w:b/>
          <w:sz w:val="32"/>
          <w:szCs w:val="32"/>
        </w:rPr>
      </w:pPr>
      <w:r>
        <w:rPr>
          <w:rFonts w:hint="eastAsia" w:asciiTheme="minorEastAsia" w:hAnsiTheme="minorEastAsia" w:cstheme="minorEastAsia"/>
          <w:b/>
          <w:sz w:val="32"/>
          <w:szCs w:val="32"/>
        </w:rPr>
        <w:t>1、范围</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本细则适用于</w:t>
      </w:r>
      <w:bookmarkStart w:id="0" w:name="_GoBack"/>
      <w:bookmarkEnd w:id="0"/>
      <w:r>
        <w:rPr>
          <w:rFonts w:hint="eastAsia" w:asciiTheme="minorEastAsia" w:hAnsiTheme="minorEastAsia" w:cstheme="minorEastAsia"/>
          <w:sz w:val="32"/>
          <w:szCs w:val="32"/>
        </w:rPr>
        <w:t>海州区市场监督管理局组织实施的低压成套开关设备产品质量监督抽查。</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本细则规定了低压成套开关设备产品的抽样方法、检验依据、检验项目、检验方法、判定规则、异议处理及复检。</w:t>
      </w:r>
    </w:p>
    <w:p>
      <w:pPr>
        <w:numPr>
          <w:ilvl w:val="0"/>
          <w:numId w:val="1"/>
        </w:numPr>
        <w:spacing w:line="560" w:lineRule="exact"/>
        <w:rPr>
          <w:rFonts w:ascii="宋体" w:hAnsi="宋体" w:eastAsia="宋体" w:cs="宋体"/>
          <w:b/>
          <w:sz w:val="32"/>
          <w:szCs w:val="32"/>
        </w:rPr>
      </w:pPr>
      <w:r>
        <w:rPr>
          <w:rFonts w:hint="eastAsia" w:ascii="宋体" w:hAnsi="宋体" w:eastAsia="宋体" w:cs="宋体"/>
          <w:b/>
          <w:sz w:val="32"/>
          <w:szCs w:val="32"/>
        </w:rPr>
        <w:t>抽样方法、基数及数量</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在企业的成品库内或生产车间内随机抽取经企业检验合格或以任何方式表明合格的产品，抽样数量为1台，抽样基数满足抽样数量即可。</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 xml:space="preserve">抽样工作由承检机构持“江苏省产品质量监督检验员证”的不少于2名工作人员共同完成。抽样人员须收集所抽样品对应的认证证书、技术资料（产品描述报告）、使用说明书等复印件。抽检样品企业无偿提供，一经采样，立即封样，并进行封样前、后拍照，填写抽样单后双方签字盖章确认。 </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当抽样员发现企业存在无证生产情况时应及时记录，并收集相关证据，如企业证书复印件(或拍照）、无证生产产品影像资料、合格证复印件（或拍照）等，抽样结束后立即将相关材料移交给当地市场监督管理部门处理。</w:t>
      </w:r>
    </w:p>
    <w:p>
      <w:pPr>
        <w:pStyle w:val="9"/>
        <w:spacing w:line="360" w:lineRule="auto"/>
        <w:ind w:firstLine="0" w:firstLineChars="0"/>
        <w:rPr>
          <w:rFonts w:ascii="宋体" w:hAnsi="宋体" w:eastAsia="宋体" w:cs="宋体"/>
          <w:b/>
          <w:sz w:val="32"/>
          <w:szCs w:val="32"/>
        </w:rPr>
      </w:pPr>
      <w:r>
        <w:rPr>
          <w:rFonts w:hint="eastAsia" w:ascii="宋体" w:hAnsi="宋体" w:eastAsia="宋体" w:cs="宋体"/>
          <w:b/>
          <w:sz w:val="32"/>
          <w:szCs w:val="32"/>
        </w:rPr>
        <w:t>3、检验依据、项目及方法</w:t>
      </w:r>
    </w:p>
    <w:p>
      <w:pPr>
        <w:spacing w:line="560" w:lineRule="exact"/>
        <w:rPr>
          <w:rFonts w:ascii="宋体" w:hAnsi="宋体" w:eastAsia="宋体" w:cs="宋体"/>
          <w:sz w:val="32"/>
          <w:szCs w:val="32"/>
        </w:rPr>
      </w:pPr>
      <w:r>
        <w:rPr>
          <w:rFonts w:hint="eastAsia" w:ascii="宋体" w:hAnsi="宋体" w:eastAsia="宋体" w:cs="宋体"/>
          <w:sz w:val="32"/>
          <w:szCs w:val="32"/>
        </w:rPr>
        <w:t>3.1检验依据</w:t>
      </w:r>
    </w:p>
    <w:p>
      <w:pPr>
        <w:spacing w:line="560" w:lineRule="exact"/>
        <w:ind w:firstLine="640" w:firstLineChars="200"/>
        <w:rPr>
          <w:rFonts w:ascii="宋体" w:hAnsi="宋体" w:eastAsia="宋体" w:cs="宋体"/>
          <w:sz w:val="32"/>
          <w:szCs w:val="32"/>
        </w:rPr>
      </w:pPr>
      <w:r>
        <w:rPr>
          <w:rFonts w:hint="eastAsia" w:ascii="宋体" w:hAnsi="宋体" w:eastAsia="宋体" w:cs="宋体"/>
          <w:sz w:val="32"/>
          <w:szCs w:val="32"/>
        </w:rPr>
        <w:t>凡是注日期的文件，其随后所有的修改单（不包括勘误的内容）或修订版不适用于本方案。凡是不注日期的文件，其最新版本适用于本方案。</w:t>
      </w:r>
    </w:p>
    <w:p>
      <w:pPr>
        <w:spacing w:line="560" w:lineRule="exact"/>
        <w:ind w:firstLine="640" w:firstLineChars="200"/>
        <w:rPr>
          <w:rFonts w:ascii="宋体" w:hAnsi="宋体" w:eastAsia="宋体" w:cs="宋体"/>
          <w:sz w:val="32"/>
          <w:szCs w:val="32"/>
        </w:rPr>
      </w:pPr>
      <w:r>
        <w:rPr>
          <w:rFonts w:hint="eastAsia" w:ascii="宋体" w:hAnsi="宋体" w:eastAsia="宋体" w:cs="宋体"/>
          <w:sz w:val="32"/>
          <w:szCs w:val="32"/>
        </w:rPr>
        <w:t>GB/T 7251.1-2013  《低压成套开关设备和控制设备 第1部分：总则》</w:t>
      </w:r>
    </w:p>
    <w:p>
      <w:pPr>
        <w:spacing w:line="560" w:lineRule="exact"/>
        <w:ind w:firstLine="640" w:firstLineChars="200"/>
        <w:rPr>
          <w:rFonts w:ascii="宋体" w:hAnsi="宋体" w:eastAsia="宋体" w:cs="宋体"/>
          <w:sz w:val="32"/>
          <w:szCs w:val="32"/>
        </w:rPr>
      </w:pPr>
      <w:r>
        <w:rPr>
          <w:rFonts w:hint="eastAsia" w:ascii="宋体" w:hAnsi="宋体" w:eastAsia="宋体" w:cs="宋体"/>
          <w:sz w:val="32"/>
          <w:szCs w:val="32"/>
        </w:rPr>
        <w:t>GB/T 7251.3 -2017 《低压成套开关设备和控制设备 第3部分: 由一般人员操作的配电箱（DBO）》</w:t>
      </w:r>
    </w:p>
    <w:p>
      <w:pPr>
        <w:spacing w:line="560" w:lineRule="exact"/>
        <w:ind w:firstLine="640" w:firstLineChars="200"/>
        <w:rPr>
          <w:rFonts w:ascii="宋体" w:hAnsi="宋体" w:eastAsia="宋体" w:cs="宋体"/>
          <w:sz w:val="32"/>
          <w:szCs w:val="32"/>
        </w:rPr>
      </w:pPr>
      <w:r>
        <w:rPr>
          <w:rFonts w:hint="eastAsia" w:ascii="宋体" w:hAnsi="宋体" w:eastAsia="宋体" w:cs="宋体"/>
          <w:sz w:val="32"/>
          <w:szCs w:val="32"/>
        </w:rPr>
        <w:t>产品明示质量承诺</w:t>
      </w:r>
    </w:p>
    <w:p>
      <w:pPr>
        <w:spacing w:line="560" w:lineRule="exact"/>
        <w:ind w:firstLine="640" w:firstLineChars="200"/>
        <w:rPr>
          <w:rFonts w:ascii="宋体" w:hAnsi="宋体" w:eastAsia="宋体" w:cs="宋体"/>
          <w:sz w:val="32"/>
          <w:szCs w:val="32"/>
        </w:rPr>
      </w:pPr>
      <w:r>
        <w:rPr>
          <w:rFonts w:hint="eastAsia" w:ascii="宋体" w:hAnsi="宋体" w:eastAsia="宋体" w:cs="宋体"/>
          <w:sz w:val="32"/>
          <w:szCs w:val="32"/>
        </w:rPr>
        <w:t>相关的法律法规、部门规章和规范</w:t>
      </w:r>
    </w:p>
    <w:p>
      <w:pPr>
        <w:spacing w:line="560" w:lineRule="exact"/>
        <w:ind w:firstLine="640" w:firstLineChars="200"/>
        <w:rPr>
          <w:rFonts w:ascii="宋体" w:hAnsi="宋体" w:eastAsia="宋体" w:cs="宋体"/>
          <w:sz w:val="32"/>
          <w:szCs w:val="32"/>
        </w:rPr>
      </w:pPr>
      <w:r>
        <w:rPr>
          <w:rFonts w:hint="eastAsia" w:ascii="宋体" w:hAnsi="宋体" w:eastAsia="宋体" w:cs="宋体"/>
          <w:sz w:val="32"/>
          <w:szCs w:val="32"/>
        </w:rPr>
        <w:t>现行有效的企业标准及产品明示质量要求。</w:t>
      </w:r>
    </w:p>
    <w:p>
      <w:pPr>
        <w:snapToGrid w:val="0"/>
        <w:spacing w:line="440" w:lineRule="exact"/>
        <w:rPr>
          <w:rFonts w:asciiTheme="minorEastAsia" w:hAnsiTheme="minorEastAsia" w:cstheme="minorEastAsia"/>
          <w:sz w:val="32"/>
          <w:szCs w:val="32"/>
        </w:rPr>
      </w:pPr>
      <w:r>
        <w:rPr>
          <w:rFonts w:hint="eastAsia" w:asciiTheme="minorEastAsia" w:hAnsiTheme="minorEastAsia" w:cstheme="minorEastAsia"/>
          <w:sz w:val="32"/>
          <w:szCs w:val="32"/>
        </w:rPr>
        <w:t>3.2检验项目</w:t>
      </w:r>
    </w:p>
    <w:p>
      <w:pPr>
        <w:snapToGrid w:val="0"/>
        <w:spacing w:line="440" w:lineRule="exact"/>
        <w:jc w:val="center"/>
        <w:rPr>
          <w:rFonts w:ascii="宋体" w:hAnsi="宋体"/>
          <w:sz w:val="28"/>
          <w:szCs w:val="28"/>
        </w:rPr>
      </w:pPr>
      <w:r>
        <w:rPr>
          <w:rFonts w:hint="eastAsia" w:ascii="宋体" w:hAnsi="宋体"/>
          <w:sz w:val="28"/>
          <w:szCs w:val="28"/>
        </w:rPr>
        <w:t>表1  配电箱检验项目</w:t>
      </w:r>
    </w:p>
    <w:tbl>
      <w:tblPr>
        <w:tblStyle w:val="5"/>
        <w:tblW w:w="831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82"/>
        <w:gridCol w:w="2610"/>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709" w:type="dxa"/>
            <w:vAlign w:val="center"/>
          </w:tcPr>
          <w:p>
            <w:pPr>
              <w:autoSpaceDE w:val="0"/>
              <w:autoSpaceDN w:val="0"/>
              <w:adjustRightInd w:val="0"/>
              <w:spacing w:line="300" w:lineRule="exact"/>
              <w:jc w:val="center"/>
              <w:rPr>
                <w:rFonts w:ascii="宋体" w:hAnsi="宋体"/>
                <w:bCs/>
                <w:color w:val="000000"/>
                <w:sz w:val="24"/>
                <w:szCs w:val="24"/>
                <w:lang w:val="zh-CN"/>
              </w:rPr>
            </w:pPr>
            <w:r>
              <w:rPr>
                <w:rFonts w:ascii="宋体" w:hAnsi="宋体"/>
                <w:bCs/>
                <w:color w:val="000000"/>
                <w:sz w:val="24"/>
                <w:szCs w:val="24"/>
                <w:lang w:val="zh-CN"/>
              </w:rPr>
              <w:t>序号</w:t>
            </w:r>
          </w:p>
        </w:tc>
        <w:tc>
          <w:tcPr>
            <w:tcW w:w="2582" w:type="dxa"/>
            <w:vAlign w:val="center"/>
          </w:tcPr>
          <w:p>
            <w:pPr>
              <w:autoSpaceDE w:val="0"/>
              <w:autoSpaceDN w:val="0"/>
              <w:adjustRightInd w:val="0"/>
              <w:spacing w:line="300" w:lineRule="exact"/>
              <w:jc w:val="center"/>
              <w:rPr>
                <w:rFonts w:ascii="宋体" w:hAnsi="宋体"/>
                <w:bCs/>
                <w:color w:val="000000"/>
                <w:sz w:val="24"/>
                <w:szCs w:val="24"/>
                <w:lang w:val="zh-CN"/>
              </w:rPr>
            </w:pPr>
            <w:r>
              <w:rPr>
                <w:rFonts w:ascii="宋体" w:hAnsi="宋体"/>
                <w:bCs/>
                <w:color w:val="000000"/>
                <w:sz w:val="24"/>
                <w:szCs w:val="24"/>
                <w:lang w:val="zh-CN"/>
              </w:rPr>
              <w:t>检验项目</w:t>
            </w:r>
          </w:p>
        </w:tc>
        <w:tc>
          <w:tcPr>
            <w:tcW w:w="2610"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bCs/>
                <w:color w:val="000000"/>
                <w:sz w:val="24"/>
                <w:szCs w:val="24"/>
                <w:lang w:val="zh-CN"/>
              </w:rPr>
              <w:t>检验</w:t>
            </w:r>
            <w:r>
              <w:rPr>
                <w:rFonts w:ascii="宋体" w:hAnsi="宋体"/>
                <w:bCs/>
                <w:color w:val="000000"/>
                <w:sz w:val="24"/>
                <w:szCs w:val="24"/>
                <w:lang w:val="zh-CN"/>
              </w:rPr>
              <w:t>依据</w:t>
            </w:r>
          </w:p>
        </w:tc>
        <w:tc>
          <w:tcPr>
            <w:tcW w:w="2415"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bCs/>
                <w:color w:val="000000"/>
                <w:sz w:val="24"/>
                <w:szCs w:val="24"/>
                <w:lang w:val="zh-CN"/>
              </w:rPr>
              <w:t>检验检测方法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709"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color w:val="000000"/>
                <w:sz w:val="24"/>
                <w:szCs w:val="24"/>
                <w:lang w:val="zh-CN"/>
              </w:rPr>
              <w:t>1</w:t>
            </w:r>
          </w:p>
        </w:tc>
        <w:tc>
          <w:tcPr>
            <w:tcW w:w="2582"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bCs/>
                <w:color w:val="000000"/>
                <w:sz w:val="24"/>
                <w:szCs w:val="24"/>
                <w:lang w:val="zh-CN"/>
              </w:rPr>
              <w:t>标志</w:t>
            </w:r>
          </w:p>
        </w:tc>
        <w:tc>
          <w:tcPr>
            <w:tcW w:w="2610"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color w:val="000000"/>
                <w:sz w:val="24"/>
                <w:szCs w:val="24"/>
              </w:rPr>
              <w:t>GB/T 7251.3-2017</w:t>
            </w:r>
            <w:r>
              <w:rPr>
                <w:rFonts w:ascii="宋体" w:hAnsi="宋体"/>
                <w:bCs/>
                <w:color w:val="000000"/>
                <w:sz w:val="24"/>
                <w:szCs w:val="24"/>
                <w:lang w:val="zh-CN"/>
              </w:rPr>
              <w:t xml:space="preserve"> </w:t>
            </w:r>
          </w:p>
        </w:tc>
        <w:tc>
          <w:tcPr>
            <w:tcW w:w="2415"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color w:val="000000"/>
                <w:sz w:val="24"/>
                <w:szCs w:val="24"/>
              </w:rPr>
              <w:t>GB/T 7251.3-2017</w:t>
            </w:r>
            <w:r>
              <w:rPr>
                <w:rFonts w:ascii="宋体" w:hAnsi="宋体"/>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709"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bCs/>
                <w:color w:val="000000"/>
                <w:sz w:val="24"/>
                <w:szCs w:val="24"/>
                <w:lang w:val="zh-CN"/>
              </w:rPr>
              <w:t>2</w:t>
            </w:r>
          </w:p>
        </w:tc>
        <w:tc>
          <w:tcPr>
            <w:tcW w:w="2582"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color w:val="000000"/>
                <w:sz w:val="24"/>
                <w:szCs w:val="24"/>
              </w:rPr>
              <w:t>介电性能</w:t>
            </w:r>
          </w:p>
        </w:tc>
        <w:tc>
          <w:tcPr>
            <w:tcW w:w="2610"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color w:val="000000"/>
                <w:sz w:val="24"/>
                <w:szCs w:val="24"/>
              </w:rPr>
              <w:t>GB/T 7251.3-2017</w:t>
            </w:r>
            <w:r>
              <w:rPr>
                <w:rFonts w:ascii="宋体" w:hAnsi="宋体"/>
                <w:bCs/>
                <w:color w:val="000000"/>
                <w:sz w:val="24"/>
                <w:szCs w:val="24"/>
                <w:lang w:val="zh-CN"/>
              </w:rPr>
              <w:t xml:space="preserve"> </w:t>
            </w:r>
          </w:p>
        </w:tc>
        <w:tc>
          <w:tcPr>
            <w:tcW w:w="2415"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color w:val="000000"/>
                <w:sz w:val="24"/>
                <w:szCs w:val="24"/>
              </w:rPr>
              <w:t>GB/T 7251.3-2017</w:t>
            </w:r>
            <w:r>
              <w:rPr>
                <w:rFonts w:ascii="宋体" w:hAnsi="宋体"/>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709" w:type="dxa"/>
            <w:vAlign w:val="center"/>
          </w:tcPr>
          <w:p>
            <w:pPr>
              <w:autoSpaceDE w:val="0"/>
              <w:autoSpaceDN w:val="0"/>
              <w:adjustRightInd w:val="0"/>
              <w:spacing w:line="300" w:lineRule="exact"/>
              <w:jc w:val="center"/>
              <w:rPr>
                <w:rFonts w:ascii="宋体" w:hAnsi="宋体"/>
                <w:color w:val="000000"/>
                <w:sz w:val="24"/>
                <w:szCs w:val="24"/>
                <w:lang w:val="zh-CN"/>
              </w:rPr>
            </w:pPr>
            <w:r>
              <w:rPr>
                <w:rFonts w:hint="eastAsia" w:ascii="宋体" w:hAnsi="宋体"/>
                <w:color w:val="000000"/>
                <w:sz w:val="24"/>
                <w:szCs w:val="24"/>
                <w:lang w:val="zh-CN"/>
              </w:rPr>
              <w:t>3</w:t>
            </w:r>
          </w:p>
        </w:tc>
        <w:tc>
          <w:tcPr>
            <w:tcW w:w="2582"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sz w:val="24"/>
                <w:szCs w:val="24"/>
                <w:lang w:val="zh-CN"/>
              </w:rPr>
              <w:t>保护电路的有效性</w:t>
            </w:r>
          </w:p>
        </w:tc>
        <w:tc>
          <w:tcPr>
            <w:tcW w:w="2610"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color w:val="000000"/>
                <w:sz w:val="24"/>
                <w:szCs w:val="24"/>
              </w:rPr>
              <w:t>GB/T 7251.3-2017</w:t>
            </w:r>
            <w:r>
              <w:rPr>
                <w:rFonts w:ascii="宋体" w:hAnsi="宋体"/>
                <w:bCs/>
                <w:color w:val="000000"/>
                <w:sz w:val="24"/>
                <w:szCs w:val="24"/>
                <w:lang w:val="zh-CN"/>
              </w:rPr>
              <w:t xml:space="preserve"> </w:t>
            </w:r>
          </w:p>
        </w:tc>
        <w:tc>
          <w:tcPr>
            <w:tcW w:w="2415"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color w:val="000000"/>
                <w:sz w:val="24"/>
                <w:szCs w:val="24"/>
              </w:rPr>
              <w:t>GB/T 7251.3-2017</w:t>
            </w:r>
            <w:r>
              <w:rPr>
                <w:rFonts w:ascii="宋体" w:hAnsi="宋体"/>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709" w:type="dxa"/>
            <w:vAlign w:val="center"/>
          </w:tcPr>
          <w:p>
            <w:pPr>
              <w:autoSpaceDE w:val="0"/>
              <w:autoSpaceDN w:val="0"/>
              <w:adjustRightInd w:val="0"/>
              <w:spacing w:line="300" w:lineRule="exact"/>
              <w:jc w:val="center"/>
              <w:rPr>
                <w:rFonts w:ascii="宋体" w:hAnsi="宋体"/>
                <w:color w:val="000000"/>
                <w:sz w:val="24"/>
                <w:szCs w:val="24"/>
                <w:lang w:val="zh-CN"/>
              </w:rPr>
            </w:pPr>
            <w:r>
              <w:rPr>
                <w:rFonts w:hint="eastAsia" w:ascii="宋体" w:hAnsi="宋体"/>
                <w:color w:val="000000"/>
                <w:sz w:val="24"/>
                <w:szCs w:val="24"/>
                <w:lang w:val="zh-CN"/>
              </w:rPr>
              <w:t>4</w:t>
            </w:r>
          </w:p>
        </w:tc>
        <w:tc>
          <w:tcPr>
            <w:tcW w:w="2582"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sz w:val="24"/>
                <w:szCs w:val="24"/>
                <w:lang w:val="zh-CN"/>
              </w:rPr>
              <w:t>电击防护</w:t>
            </w:r>
          </w:p>
        </w:tc>
        <w:tc>
          <w:tcPr>
            <w:tcW w:w="2610"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color w:val="000000"/>
                <w:sz w:val="24"/>
                <w:szCs w:val="24"/>
              </w:rPr>
              <w:t>GB/T 7251.3-2017</w:t>
            </w:r>
            <w:r>
              <w:rPr>
                <w:rFonts w:ascii="宋体" w:hAnsi="宋体"/>
                <w:bCs/>
                <w:color w:val="000000"/>
                <w:sz w:val="24"/>
                <w:szCs w:val="24"/>
                <w:lang w:val="zh-CN"/>
              </w:rPr>
              <w:t xml:space="preserve"> </w:t>
            </w:r>
          </w:p>
        </w:tc>
        <w:tc>
          <w:tcPr>
            <w:tcW w:w="2415"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color w:val="000000"/>
                <w:sz w:val="24"/>
                <w:szCs w:val="24"/>
              </w:rPr>
              <w:t>GB/T 7251.3-2017</w:t>
            </w:r>
            <w:r>
              <w:rPr>
                <w:rFonts w:ascii="宋体" w:hAnsi="宋体"/>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709" w:type="dxa"/>
            <w:vAlign w:val="center"/>
          </w:tcPr>
          <w:p>
            <w:pPr>
              <w:autoSpaceDE w:val="0"/>
              <w:autoSpaceDN w:val="0"/>
              <w:adjustRightInd w:val="0"/>
              <w:spacing w:line="300" w:lineRule="exact"/>
              <w:jc w:val="center"/>
              <w:rPr>
                <w:rFonts w:ascii="宋体" w:hAnsi="宋体"/>
                <w:color w:val="000000"/>
                <w:sz w:val="24"/>
                <w:szCs w:val="24"/>
                <w:lang w:val="zh-CN"/>
              </w:rPr>
            </w:pPr>
            <w:r>
              <w:rPr>
                <w:rFonts w:hint="eastAsia" w:ascii="宋体" w:hAnsi="宋体"/>
                <w:color w:val="000000"/>
                <w:sz w:val="24"/>
                <w:szCs w:val="24"/>
                <w:lang w:val="zh-CN"/>
              </w:rPr>
              <w:t>5</w:t>
            </w:r>
          </w:p>
        </w:tc>
        <w:tc>
          <w:tcPr>
            <w:tcW w:w="2582"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sz w:val="24"/>
                <w:szCs w:val="24"/>
                <w:lang w:val="zh-CN"/>
              </w:rPr>
              <w:t>电气间隙和爬电距离</w:t>
            </w:r>
          </w:p>
        </w:tc>
        <w:tc>
          <w:tcPr>
            <w:tcW w:w="2610"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color w:val="000000"/>
                <w:sz w:val="24"/>
                <w:szCs w:val="24"/>
              </w:rPr>
              <w:t>GB/T 7251.3-2017</w:t>
            </w:r>
            <w:r>
              <w:rPr>
                <w:rFonts w:ascii="宋体" w:hAnsi="宋体"/>
                <w:bCs/>
                <w:color w:val="000000"/>
                <w:sz w:val="24"/>
                <w:szCs w:val="24"/>
                <w:lang w:val="zh-CN"/>
              </w:rPr>
              <w:t xml:space="preserve"> </w:t>
            </w:r>
          </w:p>
        </w:tc>
        <w:tc>
          <w:tcPr>
            <w:tcW w:w="2415"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color w:val="000000"/>
                <w:sz w:val="24"/>
                <w:szCs w:val="24"/>
              </w:rPr>
              <w:t>GB/T 7251.3-2017</w:t>
            </w:r>
            <w:r>
              <w:rPr>
                <w:rFonts w:ascii="宋体" w:hAnsi="宋体"/>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709" w:type="dxa"/>
            <w:vAlign w:val="center"/>
          </w:tcPr>
          <w:p>
            <w:pPr>
              <w:autoSpaceDE w:val="0"/>
              <w:autoSpaceDN w:val="0"/>
              <w:adjustRightInd w:val="0"/>
              <w:spacing w:line="300" w:lineRule="exact"/>
              <w:jc w:val="center"/>
              <w:rPr>
                <w:rFonts w:ascii="宋体" w:hAnsi="宋体"/>
                <w:color w:val="000000"/>
                <w:sz w:val="24"/>
                <w:szCs w:val="24"/>
                <w:lang w:val="zh-CN"/>
              </w:rPr>
            </w:pPr>
            <w:r>
              <w:rPr>
                <w:rFonts w:hint="eastAsia" w:ascii="宋体" w:hAnsi="宋体"/>
                <w:color w:val="000000"/>
                <w:sz w:val="24"/>
                <w:szCs w:val="24"/>
                <w:lang w:val="zh-CN"/>
              </w:rPr>
              <w:t>6</w:t>
            </w:r>
          </w:p>
        </w:tc>
        <w:tc>
          <w:tcPr>
            <w:tcW w:w="2582"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sz w:val="24"/>
                <w:szCs w:val="24"/>
                <w:lang w:val="zh-CN"/>
              </w:rPr>
              <w:t>外接导线端子</w:t>
            </w:r>
          </w:p>
        </w:tc>
        <w:tc>
          <w:tcPr>
            <w:tcW w:w="2610"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color w:val="000000"/>
                <w:sz w:val="24"/>
                <w:szCs w:val="24"/>
              </w:rPr>
              <w:t>GB/T 7251.3-2017</w:t>
            </w:r>
            <w:r>
              <w:rPr>
                <w:rFonts w:ascii="宋体" w:hAnsi="宋体"/>
                <w:bCs/>
                <w:color w:val="000000"/>
                <w:sz w:val="24"/>
                <w:szCs w:val="24"/>
                <w:lang w:val="zh-CN"/>
              </w:rPr>
              <w:t xml:space="preserve"> </w:t>
            </w:r>
          </w:p>
        </w:tc>
        <w:tc>
          <w:tcPr>
            <w:tcW w:w="2415"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color w:val="000000"/>
                <w:sz w:val="24"/>
                <w:szCs w:val="24"/>
              </w:rPr>
              <w:t>GB/T 7251.3-2017</w:t>
            </w:r>
            <w:r>
              <w:rPr>
                <w:rFonts w:ascii="宋体" w:hAnsi="宋体"/>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709" w:type="dxa"/>
            <w:vAlign w:val="center"/>
          </w:tcPr>
          <w:p>
            <w:pPr>
              <w:autoSpaceDE w:val="0"/>
              <w:autoSpaceDN w:val="0"/>
              <w:adjustRightInd w:val="0"/>
              <w:spacing w:line="300" w:lineRule="exact"/>
              <w:jc w:val="center"/>
              <w:rPr>
                <w:rFonts w:ascii="宋体" w:hAnsi="宋体"/>
                <w:color w:val="000000"/>
                <w:sz w:val="24"/>
                <w:szCs w:val="24"/>
                <w:lang w:val="zh-CN"/>
              </w:rPr>
            </w:pPr>
            <w:r>
              <w:rPr>
                <w:rFonts w:ascii="宋体" w:hAnsi="宋体"/>
                <w:color w:val="000000"/>
                <w:sz w:val="24"/>
                <w:szCs w:val="24"/>
                <w:lang w:val="zh-CN"/>
              </w:rPr>
              <w:t>7</w:t>
            </w:r>
          </w:p>
        </w:tc>
        <w:tc>
          <w:tcPr>
            <w:tcW w:w="2582"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color w:val="000000"/>
                <w:sz w:val="24"/>
                <w:szCs w:val="24"/>
                <w:lang w:val="zh-CN"/>
              </w:rPr>
              <w:t>外壳热稳定试验</w:t>
            </w:r>
          </w:p>
        </w:tc>
        <w:tc>
          <w:tcPr>
            <w:tcW w:w="2610"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color w:val="000000"/>
                <w:sz w:val="24"/>
                <w:szCs w:val="24"/>
              </w:rPr>
              <w:t>GB/T 7251.3-2017</w:t>
            </w:r>
            <w:r>
              <w:rPr>
                <w:rFonts w:ascii="宋体" w:hAnsi="宋体"/>
                <w:bCs/>
                <w:color w:val="000000"/>
                <w:sz w:val="24"/>
                <w:szCs w:val="24"/>
                <w:lang w:val="zh-CN"/>
              </w:rPr>
              <w:t xml:space="preserve"> </w:t>
            </w:r>
          </w:p>
        </w:tc>
        <w:tc>
          <w:tcPr>
            <w:tcW w:w="2415"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color w:val="000000"/>
                <w:sz w:val="24"/>
                <w:szCs w:val="24"/>
              </w:rPr>
              <w:t>GB/T 7251.3-2017</w:t>
            </w:r>
            <w:r>
              <w:rPr>
                <w:rFonts w:ascii="宋体" w:hAnsi="宋体"/>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blHeader/>
        </w:trPr>
        <w:tc>
          <w:tcPr>
            <w:tcW w:w="709" w:type="dxa"/>
            <w:vAlign w:val="center"/>
          </w:tcPr>
          <w:p>
            <w:pPr>
              <w:autoSpaceDE w:val="0"/>
              <w:autoSpaceDN w:val="0"/>
              <w:adjustRightInd w:val="0"/>
              <w:spacing w:line="300" w:lineRule="exact"/>
              <w:jc w:val="center"/>
              <w:rPr>
                <w:rFonts w:ascii="宋体" w:hAnsi="宋体"/>
                <w:color w:val="000000"/>
                <w:sz w:val="24"/>
                <w:szCs w:val="24"/>
                <w:lang w:val="zh-CN"/>
              </w:rPr>
            </w:pPr>
            <w:r>
              <w:rPr>
                <w:rFonts w:ascii="宋体" w:hAnsi="宋体"/>
                <w:color w:val="000000"/>
                <w:sz w:val="24"/>
                <w:szCs w:val="24"/>
                <w:lang w:val="zh-CN"/>
              </w:rPr>
              <w:t>8</w:t>
            </w:r>
          </w:p>
        </w:tc>
        <w:tc>
          <w:tcPr>
            <w:tcW w:w="2582" w:type="dxa"/>
            <w:vAlign w:val="center"/>
          </w:tcPr>
          <w:p>
            <w:pPr>
              <w:autoSpaceDE w:val="0"/>
              <w:autoSpaceDN w:val="0"/>
              <w:adjustRightInd w:val="0"/>
              <w:spacing w:line="300" w:lineRule="exact"/>
              <w:jc w:val="center"/>
              <w:rPr>
                <w:rFonts w:ascii="宋体" w:hAnsi="宋体"/>
                <w:color w:val="000000"/>
                <w:sz w:val="24"/>
                <w:szCs w:val="24"/>
                <w:lang w:val="zh-CN"/>
              </w:rPr>
            </w:pPr>
            <w:r>
              <w:rPr>
                <w:rFonts w:hint="eastAsia" w:ascii="宋体" w:hAnsi="宋体"/>
                <w:color w:val="000000"/>
                <w:sz w:val="24"/>
                <w:szCs w:val="24"/>
                <w:lang w:val="zh-CN"/>
              </w:rPr>
              <w:t>绝缘材料耐受内部电效应引起的非正常发热和着火的验证</w:t>
            </w:r>
          </w:p>
        </w:tc>
        <w:tc>
          <w:tcPr>
            <w:tcW w:w="2610" w:type="dxa"/>
            <w:vAlign w:val="center"/>
          </w:tcPr>
          <w:p>
            <w:pPr>
              <w:autoSpaceDE w:val="0"/>
              <w:autoSpaceDN w:val="0"/>
              <w:adjustRightInd w:val="0"/>
              <w:spacing w:line="300" w:lineRule="exact"/>
              <w:jc w:val="center"/>
              <w:rPr>
                <w:rFonts w:ascii="宋体" w:hAnsi="宋体"/>
                <w:bCs/>
                <w:color w:val="000000"/>
                <w:sz w:val="24"/>
                <w:szCs w:val="24"/>
                <w:lang w:val="zh-CN"/>
              </w:rPr>
            </w:pPr>
            <w:r>
              <w:rPr>
                <w:rFonts w:hint="eastAsia" w:ascii="宋体" w:hAnsi="宋体"/>
                <w:color w:val="000000"/>
                <w:sz w:val="24"/>
                <w:szCs w:val="24"/>
              </w:rPr>
              <w:t>GB/T 7251.3-2017</w:t>
            </w:r>
            <w:r>
              <w:rPr>
                <w:rFonts w:ascii="宋体" w:hAnsi="宋体"/>
                <w:bCs/>
                <w:color w:val="000000"/>
                <w:sz w:val="24"/>
                <w:szCs w:val="24"/>
                <w:lang w:val="zh-CN"/>
              </w:rPr>
              <w:t xml:space="preserve"> </w:t>
            </w:r>
          </w:p>
        </w:tc>
        <w:tc>
          <w:tcPr>
            <w:tcW w:w="2415" w:type="dxa"/>
            <w:vAlign w:val="center"/>
          </w:tcPr>
          <w:p>
            <w:pPr>
              <w:autoSpaceDE w:val="0"/>
              <w:autoSpaceDN w:val="0"/>
              <w:adjustRightInd w:val="0"/>
              <w:spacing w:line="300" w:lineRule="exact"/>
              <w:jc w:val="center"/>
              <w:rPr>
                <w:rFonts w:ascii="宋体" w:hAnsi="宋体"/>
                <w:sz w:val="24"/>
                <w:szCs w:val="24"/>
                <w:lang w:val="zh-CN"/>
              </w:rPr>
            </w:pPr>
            <w:r>
              <w:rPr>
                <w:rFonts w:hint="eastAsia" w:ascii="宋体" w:hAnsi="宋体"/>
                <w:color w:val="000000"/>
                <w:sz w:val="24"/>
                <w:szCs w:val="24"/>
              </w:rPr>
              <w:t>GB/T 7251.3-2017</w:t>
            </w:r>
            <w:r>
              <w:rPr>
                <w:rFonts w:ascii="宋体" w:hAnsi="宋体"/>
                <w:sz w:val="24"/>
                <w:szCs w:val="24"/>
                <w:lang w:val="zh-CN"/>
              </w:rPr>
              <w:t xml:space="preserve"> </w:t>
            </w:r>
          </w:p>
        </w:tc>
      </w:tr>
    </w:tbl>
    <w:p>
      <w:pPr>
        <w:autoSpaceDE w:val="0"/>
        <w:autoSpaceDN w:val="0"/>
        <w:adjustRightInd w:val="0"/>
        <w:spacing w:line="300" w:lineRule="exact"/>
        <w:rPr>
          <w:rFonts w:ascii="宋体" w:hAnsi="宋体"/>
          <w:szCs w:val="21"/>
        </w:rPr>
      </w:pPr>
      <w:r>
        <w:rPr>
          <w:rFonts w:hint="eastAsia" w:ascii="宋体" w:hAnsi="宋体"/>
          <w:bCs/>
          <w:color w:val="000000"/>
          <w:sz w:val="24"/>
          <w:szCs w:val="24"/>
          <w:lang w:val="zh-CN"/>
        </w:rPr>
        <w:t>备注：介电性能项目不复检，其它项目</w:t>
      </w:r>
      <w:r>
        <w:rPr>
          <w:rFonts w:hint="eastAsia" w:ascii="宋体" w:hAnsi="宋体"/>
          <w:bCs/>
          <w:color w:val="000000"/>
          <w:sz w:val="24"/>
          <w:szCs w:val="24"/>
        </w:rPr>
        <w:t>可</w:t>
      </w:r>
      <w:r>
        <w:rPr>
          <w:rFonts w:hint="eastAsia" w:ascii="宋体" w:hAnsi="宋体"/>
          <w:bCs/>
          <w:color w:val="000000"/>
          <w:sz w:val="24"/>
          <w:szCs w:val="24"/>
          <w:lang w:val="zh-CN"/>
        </w:rPr>
        <w:t>采用原样复检。</w:t>
      </w:r>
    </w:p>
    <w:p>
      <w:pPr>
        <w:snapToGrid w:val="0"/>
        <w:spacing w:line="440" w:lineRule="exact"/>
        <w:jc w:val="center"/>
        <w:rPr>
          <w:rFonts w:ascii="宋体" w:hAnsi="宋体"/>
          <w:sz w:val="28"/>
          <w:szCs w:val="28"/>
        </w:rPr>
      </w:pPr>
    </w:p>
    <w:p>
      <w:pPr>
        <w:spacing w:line="560" w:lineRule="exact"/>
        <w:jc w:val="center"/>
        <w:rPr>
          <w:rFonts w:asciiTheme="minorEastAsia" w:hAnsiTheme="minorEastAsia" w:cstheme="minorEastAsia"/>
          <w:b/>
          <w:kern w:val="0"/>
          <w:sz w:val="32"/>
          <w:szCs w:val="32"/>
          <w:shd w:val="clear" w:color="auto" w:fill="FFFFFF"/>
        </w:rPr>
      </w:pPr>
    </w:p>
    <w:p>
      <w:pPr>
        <w:spacing w:line="560" w:lineRule="exact"/>
        <w:rPr>
          <w:rFonts w:asciiTheme="minorEastAsia" w:hAnsiTheme="minorEastAsia" w:cstheme="minorEastAsia"/>
          <w:b/>
          <w:kern w:val="0"/>
          <w:sz w:val="32"/>
          <w:szCs w:val="32"/>
          <w:shd w:val="clear" w:color="auto" w:fill="FFFFFF"/>
        </w:rPr>
      </w:pPr>
      <w:r>
        <w:rPr>
          <w:rFonts w:hint="eastAsia" w:asciiTheme="minorEastAsia" w:hAnsiTheme="minorEastAsia" w:cstheme="minorEastAsia"/>
          <w:b/>
          <w:kern w:val="0"/>
          <w:sz w:val="32"/>
          <w:szCs w:val="32"/>
          <w:shd w:val="clear" w:color="auto" w:fill="FFFFFF"/>
        </w:rPr>
        <w:t>4、判定原则</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经检验，检验项目全部合格，判定为被抽查产品合格；检验项目中任一项或一项以上不合格，判定为被抽查产品不合格。</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若被检产品明示的质量要求高于本细则中检验项目依据的标准要求时，应按被检产品明示的质量要求判定。</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若被检产品明示的质量要求低于或包含细则中检验项目依据的推荐性标准要求时，应以被检产品明示的质量要求判定，但应在检验报告备注中进行说明。</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若被检产品明示的质量要求缺少本细则中检验项目依据的推荐性标准要求时，该项目不参与判定，但应在检验报告备注中进行说明。</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检验检测报告结论判定用语：</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 xml:space="preserve">检验合格：经抽样检验,所检项目符合 ×××××、×××××标准，检验结论为合格。 </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检验不合格：经抽样检验,×××项目不符合 ×××××、×××××标准，检验结论为不合格。</w:t>
      </w:r>
    </w:p>
    <w:p>
      <w:pPr>
        <w:spacing w:line="560" w:lineRule="exact"/>
        <w:rPr>
          <w:rFonts w:ascii="方正黑体_GBK" w:hAnsi="方正仿宋_GBK" w:eastAsia="方正黑体_GBK" w:cs="方正仿宋_GBK"/>
          <w:b/>
          <w:kern w:val="0"/>
          <w:sz w:val="32"/>
          <w:szCs w:val="32"/>
          <w:shd w:val="clear" w:color="auto" w:fill="FFFFFF"/>
        </w:rPr>
      </w:pPr>
      <w:r>
        <w:rPr>
          <w:rFonts w:hint="eastAsia" w:asciiTheme="minorEastAsia" w:hAnsiTheme="minorEastAsia" w:cstheme="minorEastAsia"/>
          <w:b/>
          <w:kern w:val="0"/>
          <w:sz w:val="32"/>
          <w:szCs w:val="32"/>
          <w:shd w:val="clear" w:color="auto" w:fill="FFFFFF"/>
        </w:rPr>
        <w:t>5、异议处理</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对不合格产品的异议处理，按以下方式进行：</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5.1对检验结果有异议的，任务下达部门核查相关证据，能够以记录（纸质、电子或影像记录）或与不合格项目相关联的其它质量数据等证明原结论</w:t>
      </w:r>
      <w:r>
        <w:rPr>
          <w:rFonts w:hint="eastAsia" w:asciiTheme="minorEastAsia" w:hAnsiTheme="minorEastAsia" w:cstheme="minorEastAsia"/>
          <w:color w:val="404040"/>
          <w:sz w:val="32"/>
          <w:szCs w:val="32"/>
        </w:rPr>
        <w:t>或原样能够复现不合格项的，做出维持原检验结论的复检结论</w:t>
      </w:r>
      <w:r>
        <w:rPr>
          <w:rFonts w:hint="eastAsia" w:asciiTheme="minorEastAsia" w:hAnsiTheme="minorEastAsia" w:cstheme="minorEastAsia"/>
          <w:sz w:val="32"/>
          <w:szCs w:val="32"/>
        </w:rPr>
        <w:t>；不能证明原检验结果准确，需要进行复检的，由任务下达部门指定复检机构进行复检，复检结果为本次监督抽查最终结论。</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5.2 对需要复检并具备检验条件的，复检承检机构按任务下达部门要求，对留存的样品或抽取的备用样品组织复检，并出具复检报告。</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5.3不进行复检的项目：介电性能</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5.4对需要复检并具备检验条件的，复检承检机构按任务下达部门要求，对留存的样品组织复检，并出具复检报告。</w:t>
      </w:r>
    </w:p>
    <w:p>
      <w:pPr>
        <w:spacing w:line="560" w:lineRule="exact"/>
        <w:ind w:firstLine="640" w:firstLineChars="200"/>
        <w:rPr>
          <w:rFonts w:asciiTheme="minorEastAsia" w:hAnsiTheme="minorEastAsia" w:cstheme="minorEastAsia"/>
          <w:kern w:val="0"/>
          <w:sz w:val="32"/>
          <w:szCs w:val="32"/>
          <w:shd w:val="clear" w:color="auto" w:fill="FFFFFF"/>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76B586"/>
    <w:multiLevelType w:val="singleLevel"/>
    <w:tmpl w:val="9276B58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Q2NTdkNDJhYTIzZWJiYjI4ZTA5NGRjZDczZDNiYTIifQ=="/>
  </w:docVars>
  <w:rsids>
    <w:rsidRoot w:val="00744561"/>
    <w:rsid w:val="000B6522"/>
    <w:rsid w:val="000E3571"/>
    <w:rsid w:val="001230FB"/>
    <w:rsid w:val="00183062"/>
    <w:rsid w:val="001B3C2E"/>
    <w:rsid w:val="001E570B"/>
    <w:rsid w:val="00211F8D"/>
    <w:rsid w:val="002316C4"/>
    <w:rsid w:val="00281AE4"/>
    <w:rsid w:val="002E0675"/>
    <w:rsid w:val="0032500B"/>
    <w:rsid w:val="003478D6"/>
    <w:rsid w:val="003679C3"/>
    <w:rsid w:val="003D4535"/>
    <w:rsid w:val="003F36F5"/>
    <w:rsid w:val="004157B1"/>
    <w:rsid w:val="0045248A"/>
    <w:rsid w:val="00454EE8"/>
    <w:rsid w:val="00467697"/>
    <w:rsid w:val="004E1BE1"/>
    <w:rsid w:val="00536DAC"/>
    <w:rsid w:val="00566D3A"/>
    <w:rsid w:val="0057206F"/>
    <w:rsid w:val="00590502"/>
    <w:rsid w:val="005A0C49"/>
    <w:rsid w:val="005C435F"/>
    <w:rsid w:val="005D1103"/>
    <w:rsid w:val="005F5C39"/>
    <w:rsid w:val="0070443A"/>
    <w:rsid w:val="00721BF1"/>
    <w:rsid w:val="00744561"/>
    <w:rsid w:val="00752BEA"/>
    <w:rsid w:val="00761E35"/>
    <w:rsid w:val="007E0868"/>
    <w:rsid w:val="00864EFC"/>
    <w:rsid w:val="008A50A1"/>
    <w:rsid w:val="008B0AB3"/>
    <w:rsid w:val="008B6280"/>
    <w:rsid w:val="00914A34"/>
    <w:rsid w:val="009430C9"/>
    <w:rsid w:val="009866BC"/>
    <w:rsid w:val="009C0172"/>
    <w:rsid w:val="009C5979"/>
    <w:rsid w:val="00A00DD0"/>
    <w:rsid w:val="00A57193"/>
    <w:rsid w:val="00A660D8"/>
    <w:rsid w:val="00AD0048"/>
    <w:rsid w:val="00B1120D"/>
    <w:rsid w:val="00B84AD2"/>
    <w:rsid w:val="00BA6DD2"/>
    <w:rsid w:val="00BC35CF"/>
    <w:rsid w:val="00BD2A86"/>
    <w:rsid w:val="00BE4B7B"/>
    <w:rsid w:val="00C26F17"/>
    <w:rsid w:val="00C60B14"/>
    <w:rsid w:val="00C76339"/>
    <w:rsid w:val="00C76E7E"/>
    <w:rsid w:val="00C868C0"/>
    <w:rsid w:val="00C9179B"/>
    <w:rsid w:val="00CE6A40"/>
    <w:rsid w:val="00D043C4"/>
    <w:rsid w:val="00D128DD"/>
    <w:rsid w:val="00D25BF4"/>
    <w:rsid w:val="00E32145"/>
    <w:rsid w:val="00E53861"/>
    <w:rsid w:val="00EA42E2"/>
    <w:rsid w:val="00EA75E3"/>
    <w:rsid w:val="00EC13DC"/>
    <w:rsid w:val="00F3458F"/>
    <w:rsid w:val="00F41C0D"/>
    <w:rsid w:val="00F44D30"/>
    <w:rsid w:val="00F65AF8"/>
    <w:rsid w:val="011942D5"/>
    <w:rsid w:val="01532E09"/>
    <w:rsid w:val="01B06AA6"/>
    <w:rsid w:val="04854128"/>
    <w:rsid w:val="06594F5C"/>
    <w:rsid w:val="07785935"/>
    <w:rsid w:val="07872A96"/>
    <w:rsid w:val="07CD2A05"/>
    <w:rsid w:val="081E173E"/>
    <w:rsid w:val="0B424ED6"/>
    <w:rsid w:val="0EE573EC"/>
    <w:rsid w:val="101D5079"/>
    <w:rsid w:val="12E70745"/>
    <w:rsid w:val="13884384"/>
    <w:rsid w:val="192F2D18"/>
    <w:rsid w:val="19EF4D27"/>
    <w:rsid w:val="1B677199"/>
    <w:rsid w:val="1BAB4201"/>
    <w:rsid w:val="1C9811DE"/>
    <w:rsid w:val="1E550A2F"/>
    <w:rsid w:val="1E904712"/>
    <w:rsid w:val="238520CB"/>
    <w:rsid w:val="240D3AC6"/>
    <w:rsid w:val="258973CB"/>
    <w:rsid w:val="28323B31"/>
    <w:rsid w:val="29003BF9"/>
    <w:rsid w:val="29EE0361"/>
    <w:rsid w:val="2A054629"/>
    <w:rsid w:val="2A34787A"/>
    <w:rsid w:val="2CC01414"/>
    <w:rsid w:val="2F2C7B1F"/>
    <w:rsid w:val="2F2F0EA1"/>
    <w:rsid w:val="2F303891"/>
    <w:rsid w:val="2F642A08"/>
    <w:rsid w:val="2FEE1039"/>
    <w:rsid w:val="30EB054D"/>
    <w:rsid w:val="31100355"/>
    <w:rsid w:val="31364E08"/>
    <w:rsid w:val="329B72AD"/>
    <w:rsid w:val="36106B74"/>
    <w:rsid w:val="36316FC0"/>
    <w:rsid w:val="3641286E"/>
    <w:rsid w:val="375B7FC6"/>
    <w:rsid w:val="37C91AA3"/>
    <w:rsid w:val="39044875"/>
    <w:rsid w:val="3A2E0F2F"/>
    <w:rsid w:val="3D694844"/>
    <w:rsid w:val="3F1A2396"/>
    <w:rsid w:val="3F255D10"/>
    <w:rsid w:val="3FA11200"/>
    <w:rsid w:val="3FFA2095"/>
    <w:rsid w:val="41CB57B5"/>
    <w:rsid w:val="43943464"/>
    <w:rsid w:val="454C38AA"/>
    <w:rsid w:val="46871750"/>
    <w:rsid w:val="46EE1A8C"/>
    <w:rsid w:val="4B700C60"/>
    <w:rsid w:val="4B747BBB"/>
    <w:rsid w:val="4F604C4A"/>
    <w:rsid w:val="50261F25"/>
    <w:rsid w:val="5067097A"/>
    <w:rsid w:val="53650E82"/>
    <w:rsid w:val="56F50098"/>
    <w:rsid w:val="57460C4F"/>
    <w:rsid w:val="5B5979B9"/>
    <w:rsid w:val="5CB5020D"/>
    <w:rsid w:val="5D636762"/>
    <w:rsid w:val="61273720"/>
    <w:rsid w:val="61B67B7F"/>
    <w:rsid w:val="62955990"/>
    <w:rsid w:val="68355563"/>
    <w:rsid w:val="6A181335"/>
    <w:rsid w:val="6A370F02"/>
    <w:rsid w:val="6B707D33"/>
    <w:rsid w:val="6C8B73B5"/>
    <w:rsid w:val="6CB00F62"/>
    <w:rsid w:val="6CF26F39"/>
    <w:rsid w:val="6FF12E2C"/>
    <w:rsid w:val="71185803"/>
    <w:rsid w:val="720436F7"/>
    <w:rsid w:val="7620425C"/>
    <w:rsid w:val="76302EEC"/>
    <w:rsid w:val="77804CFF"/>
    <w:rsid w:val="78C82486"/>
    <w:rsid w:val="78FD4CAF"/>
    <w:rsid w:val="79577199"/>
    <w:rsid w:val="7C3651D9"/>
    <w:rsid w:val="7D0431B1"/>
    <w:rsid w:val="7DC548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列出段落1"/>
    <w:basedOn w:val="1"/>
    <w:qFormat/>
    <w:uiPriority w:val="0"/>
    <w:pPr>
      <w:ind w:firstLine="420" w:firstLineChars="200"/>
    </w:pPr>
    <w:rPr>
      <w:rFonts w:ascii="Calibri" w:hAnsi="Calibri"/>
    </w:rPr>
  </w:style>
  <w:style w:type="character" w:customStyle="1" w:styleId="10">
    <w:name w:val="批注框文本 Char"/>
    <w:basedOn w:val="6"/>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263</Words>
  <Characters>1504</Characters>
  <Lines>12</Lines>
  <Paragraphs>3</Paragraphs>
  <TotalTime>19</TotalTime>
  <ScaleCrop>false</ScaleCrop>
  <LinksUpToDate>false</LinksUpToDate>
  <CharactersWithSpaces>1764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2020-03-18T01:54:00Z</dcterms:created>
  <dc:creator>lenovo</dc:creator>
  <cp:lastModifiedBy>紫╰╮旋</cp:lastModifiedBy>
  <cp:lastPrinted>2023-10-25T09:07:00Z</cp:lastPrinted>
  <dcterms:modified xsi:type="dcterms:W3CDTF">2023-10-26T07:08:25Z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071FEF40C53D4E40B34856057DA9B3BA</vt:lpwstr>
  </property>
</Properties>
</file>