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napToGrid w:val="0"/>
        <w:spacing w:line="580" w:lineRule="exact"/>
        <w:jc w:val="center"/>
        <w:rPr>
          <w:rFonts w:hint="eastAsia" w:ascii="方正仿宋_GB2312" w:hAnsi="方正仿宋_GB2312" w:eastAsia="方正仿宋_GB2312" w:cs="方正仿宋_GB2312"/>
          <w:b/>
          <w:bCs/>
          <w:color w:val="000000"/>
          <w:kern w:val="2"/>
          <w:sz w:val="44"/>
          <w:szCs w:val="44"/>
          <w:lang w:val="en-US" w:bidi="ar-SA"/>
        </w:rPr>
      </w:pPr>
      <w:r>
        <w:rPr>
          <w:rFonts w:hint="eastAsia" w:ascii="方正仿宋_GB2312" w:hAnsi="方正仿宋_GB2312" w:eastAsia="方正仿宋_GB2312" w:cs="方正仿宋_GB2312"/>
          <w:b/>
          <w:bCs/>
          <w:color w:val="000000"/>
          <w:kern w:val="2"/>
          <w:sz w:val="44"/>
          <w:szCs w:val="44"/>
          <w:lang w:bidi="ar-SA"/>
        </w:rPr>
        <w:t>2023</w:t>
      </w:r>
      <w:r>
        <w:rPr>
          <w:rFonts w:hint="eastAsia" w:ascii="方正仿宋_GB2312" w:hAnsi="方正仿宋_GB2312" w:eastAsia="方正仿宋_GB2312" w:cs="方正仿宋_GB2312"/>
          <w:b/>
          <w:bCs/>
          <w:color w:val="000000"/>
          <w:kern w:val="2"/>
          <w:sz w:val="44"/>
          <w:szCs w:val="44"/>
          <w:lang w:val="en-US" w:bidi="ar-SA"/>
        </w:rPr>
        <w:t>年</w:t>
      </w:r>
      <w:r>
        <w:rPr>
          <w:rFonts w:hint="eastAsia" w:ascii="方正仿宋_GB2312" w:hAnsi="方正仿宋_GB2312" w:eastAsia="方正仿宋_GB2312" w:cs="方正仿宋_GB2312"/>
          <w:b/>
          <w:bCs/>
          <w:color w:val="000000"/>
          <w:kern w:val="2"/>
          <w:sz w:val="44"/>
          <w:szCs w:val="44"/>
          <w:lang w:val="en-US" w:eastAsia="zh-CN" w:bidi="ar-SA"/>
        </w:rPr>
        <w:t>海州区</w:t>
      </w:r>
      <w:r>
        <w:rPr>
          <w:rFonts w:hint="eastAsia" w:ascii="方正仿宋_GB2312" w:hAnsi="方正仿宋_GB2312" w:eastAsia="方正仿宋_GB2312" w:cs="方正仿宋_GB2312"/>
          <w:b/>
          <w:bCs/>
          <w:color w:val="000000"/>
          <w:kern w:val="2"/>
          <w:sz w:val="44"/>
          <w:szCs w:val="44"/>
          <w:lang w:val="en-US" w:bidi="ar-SA"/>
        </w:rPr>
        <w:t>消防器材产品质量监督抽查</w:t>
      </w:r>
    </w:p>
    <w:p>
      <w:pPr>
        <w:autoSpaceDE/>
        <w:autoSpaceDN/>
        <w:snapToGrid w:val="0"/>
        <w:spacing w:line="580" w:lineRule="exact"/>
        <w:jc w:val="center"/>
        <w:rPr>
          <w:rFonts w:hint="eastAsia" w:ascii="方正仿宋_GB2312" w:hAnsi="方正仿宋_GB2312" w:eastAsia="方正仿宋_GB2312" w:cs="方正仿宋_GB2312"/>
          <w:b/>
          <w:bCs/>
          <w:kern w:val="2"/>
          <w:sz w:val="44"/>
          <w:szCs w:val="44"/>
          <w:lang w:val="en-US" w:bidi="ar-SA"/>
        </w:rPr>
      </w:pPr>
      <w:r>
        <w:rPr>
          <w:rFonts w:hint="eastAsia" w:ascii="方正仿宋_GB2312" w:hAnsi="方正仿宋_GB2312" w:eastAsia="方正仿宋_GB2312" w:cs="方正仿宋_GB2312"/>
          <w:b/>
          <w:bCs/>
          <w:color w:val="000000"/>
          <w:kern w:val="2"/>
          <w:sz w:val="44"/>
          <w:szCs w:val="44"/>
          <w:lang w:val="en-US" w:bidi="ar-SA"/>
        </w:rPr>
        <w:t>实施细则</w:t>
      </w:r>
    </w:p>
    <w:p>
      <w:pPr>
        <w:autoSpaceDE/>
        <w:autoSpaceDN/>
        <w:spacing w:line="580" w:lineRule="exact"/>
        <w:ind w:firstLine="643" w:firstLineChars="200"/>
        <w:jc w:val="both"/>
        <w:rPr>
          <w:rFonts w:hint="eastAsia" w:ascii="方正仿宋_GB2312" w:hAnsi="方正仿宋_GB2312" w:eastAsia="方正仿宋_GB2312" w:cs="方正仿宋_GB2312"/>
          <w:b/>
          <w:bCs/>
          <w:kern w:val="2"/>
          <w:sz w:val="32"/>
          <w:szCs w:val="32"/>
          <w:lang w:val="en-US" w:bidi="ar-SA"/>
        </w:rPr>
      </w:pPr>
      <w:r>
        <w:rPr>
          <w:rFonts w:hint="eastAsia" w:ascii="方正仿宋_GB2312" w:hAnsi="方正仿宋_GB2312" w:eastAsia="方正仿宋_GB2312" w:cs="方正仿宋_GB2312"/>
          <w:b/>
          <w:bCs/>
          <w:kern w:val="2"/>
          <w:sz w:val="32"/>
          <w:szCs w:val="32"/>
          <w:lang w:val="en-US" w:bidi="ar-SA"/>
        </w:rPr>
        <w:t>1. 范围</w:t>
      </w:r>
    </w:p>
    <w:p>
      <w:pPr>
        <w:autoSpaceDE/>
        <w:autoSpaceDN/>
        <w:spacing w:line="580" w:lineRule="exact"/>
        <w:ind w:firstLine="640"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kern w:val="2"/>
          <w:sz w:val="32"/>
          <w:szCs w:val="32"/>
          <w:lang w:val="en-US" w:bidi="ar-SA"/>
        </w:rPr>
        <w:t>本细则适用于</w:t>
      </w:r>
      <w:r>
        <w:rPr>
          <w:rFonts w:hint="eastAsia" w:ascii="方正仿宋_GB2312" w:hAnsi="方正仿宋_GB2312" w:eastAsia="方正仿宋_GB2312" w:cs="方正仿宋_GB2312"/>
          <w:kern w:val="2"/>
          <w:sz w:val="32"/>
          <w:szCs w:val="32"/>
          <w:lang w:val="en-US" w:eastAsia="zh-CN" w:bidi="ar-SA"/>
        </w:rPr>
        <w:t>海州区</w:t>
      </w:r>
      <w:r>
        <w:rPr>
          <w:rFonts w:hint="eastAsia" w:ascii="方正仿宋_GB2312" w:hAnsi="方正仿宋_GB2312" w:eastAsia="方正仿宋_GB2312" w:cs="方正仿宋_GB2312"/>
          <w:kern w:val="2"/>
          <w:sz w:val="32"/>
          <w:szCs w:val="32"/>
          <w:lang w:val="en-US" w:bidi="ar-SA"/>
        </w:rPr>
        <w:t>市场监督管理局组织的消防器材产品质量监督抽查。本细则规定了此产品的抽样方法、检验依据、检验项目、检验方法、判定原则、异议处理及复检。</w:t>
      </w:r>
    </w:p>
    <w:p>
      <w:pPr>
        <w:autoSpaceDE/>
        <w:autoSpaceDN/>
        <w:spacing w:line="580" w:lineRule="exact"/>
        <w:ind w:firstLine="643"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b/>
          <w:kern w:val="2"/>
          <w:sz w:val="32"/>
          <w:szCs w:val="32"/>
          <w:lang w:val="en-US" w:bidi="ar-SA"/>
        </w:rPr>
        <w:t>2 .抽样方法</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生产企业抽样、实体店抽样</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在受检企业的成品仓库或者其确认场所，随机抽取有产品质量检验合格证明或者其他形式表明合格的待销产品，实体店买样需索取发票等购样凭据留证。</w:t>
      </w:r>
      <w:r>
        <w:rPr>
          <w:rFonts w:hint="eastAsia" w:ascii="方正仿宋_GB2312" w:hAnsi="方正仿宋_GB2312" w:eastAsia="方正仿宋_GB2312" w:cs="方正仿宋_GB2312"/>
          <w:kern w:val="2"/>
          <w:sz w:val="32"/>
          <w:szCs w:val="32"/>
          <w:lang w:val="en-US" w:bidi="ar-SA"/>
        </w:rPr>
        <w:t>每批次产品手提式灭火器抽取样品6具，其中3具为检验样品，3具为备用样品；消防水枪抽取样品6具，其中3具为检验样品，3具为备用样品；消防应急灯产品抽取样品4</w:t>
      </w:r>
      <w:r>
        <w:rPr>
          <w:rFonts w:hint="eastAsia" w:ascii="方正仿宋_GB2312" w:hAnsi="方正仿宋_GB2312" w:eastAsia="方正仿宋_GB2312" w:cs="方正仿宋_GB2312"/>
          <w:kern w:val="2"/>
          <w:sz w:val="32"/>
          <w:szCs w:val="32"/>
          <w:lang w:val="en-US" w:bidi="ar-SA"/>
        </w:rPr>
        <w:t>具，其中2</w:t>
      </w:r>
      <w:r>
        <w:rPr>
          <w:rFonts w:hint="eastAsia" w:ascii="方正仿宋_GB2312" w:hAnsi="方正仿宋_GB2312" w:eastAsia="方正仿宋_GB2312" w:cs="方正仿宋_GB2312"/>
          <w:kern w:val="2"/>
          <w:sz w:val="32"/>
          <w:szCs w:val="32"/>
          <w:lang w:val="en-US" w:bidi="ar-SA"/>
        </w:rPr>
        <w:t>具为检验样品，2</w:t>
      </w:r>
      <w:r>
        <w:rPr>
          <w:rFonts w:hint="eastAsia" w:ascii="方正仿宋_GB2312" w:hAnsi="方正仿宋_GB2312" w:eastAsia="方正仿宋_GB2312" w:cs="方正仿宋_GB2312"/>
          <w:kern w:val="2"/>
          <w:sz w:val="32"/>
          <w:szCs w:val="32"/>
          <w:lang w:val="en-US" w:bidi="ar-SA"/>
        </w:rPr>
        <w:t>具为备用样品。抽样基数满足抽样数量即可。</w:t>
      </w:r>
    </w:p>
    <w:p>
      <w:pPr>
        <w:autoSpaceDE/>
        <w:autoSpaceDN/>
        <w:spacing w:line="580" w:lineRule="exact"/>
        <w:ind w:firstLine="643"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b/>
          <w:kern w:val="2"/>
          <w:sz w:val="32"/>
          <w:szCs w:val="32"/>
          <w:lang w:val="en-US" w:bidi="ar-SA"/>
        </w:rPr>
        <w:t>3. 检验依据</w:t>
      </w:r>
      <w:bookmarkStart w:id="0" w:name="_GoBack"/>
      <w:bookmarkEnd w:id="0"/>
    </w:p>
    <w:p>
      <w:pPr>
        <w:autoSpaceDE/>
        <w:autoSpaceDN/>
        <w:spacing w:line="580" w:lineRule="exact"/>
        <w:ind w:firstLine="640" w:firstLineChars="200"/>
        <w:jc w:val="both"/>
        <w:rPr>
          <w:rFonts w:hint="eastAsia" w:ascii="方正仿宋_GB2312" w:hAnsi="方正仿宋_GB2312" w:eastAsia="方正仿宋_GB2312" w:cs="方正仿宋_GB2312"/>
          <w:kern w:val="2"/>
          <w:sz w:val="28"/>
          <w:szCs w:val="28"/>
          <w:lang w:val="en-US" w:bidi="ar-SA"/>
        </w:rPr>
      </w:pPr>
      <w:r>
        <w:rPr>
          <w:rFonts w:hint="eastAsia" w:ascii="方正仿宋_GB2312" w:hAnsi="方正仿宋_GB2312" w:eastAsia="方正仿宋_GB2312" w:cs="方正仿宋_GB2312"/>
          <w:kern w:val="2"/>
          <w:sz w:val="32"/>
          <w:szCs w:val="32"/>
          <w:lang w:val="en-US" w:bidi="ar-SA"/>
        </w:rPr>
        <w:t>检验项目及检验依据见表1。</w:t>
      </w:r>
    </w:p>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表</w:t>
      </w:r>
      <w:r>
        <w:rPr>
          <w:rFonts w:hint="eastAsia" w:ascii="方正仿宋_GB2312" w:hAnsi="方正仿宋_GB2312" w:eastAsia="方正仿宋_GB2312" w:cs="方正仿宋_GB2312"/>
          <w:kern w:val="2"/>
          <w:sz w:val="32"/>
          <w:szCs w:val="32"/>
          <w:lang w:val="en-US" w:eastAsia="zh-CN" w:bidi="ar-SA"/>
        </w:rPr>
        <w:t>1</w:t>
      </w:r>
      <w:r>
        <w:rPr>
          <w:rFonts w:hint="eastAsia" w:ascii="方正仿宋_GB2312" w:hAnsi="方正仿宋_GB2312" w:eastAsia="方正仿宋_GB2312" w:cs="方正仿宋_GB2312"/>
          <w:kern w:val="2"/>
          <w:sz w:val="32"/>
          <w:szCs w:val="32"/>
          <w:lang w:val="en-US" w:bidi="ar-SA"/>
        </w:rPr>
        <w:t>手提式灭火器产品检验项目</w:t>
      </w:r>
    </w:p>
    <w:tbl>
      <w:tblPr>
        <w:tblStyle w:val="13"/>
        <w:tblW w:w="9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2"/>
        <w:gridCol w:w="3500"/>
        <w:gridCol w:w="2901"/>
        <w:gridCol w:w="2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jc w:val="center"/>
        </w:trPr>
        <w:tc>
          <w:tcPr>
            <w:tcW w:w="802"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序号</w:t>
            </w:r>
          </w:p>
        </w:tc>
        <w:tc>
          <w:tcPr>
            <w:tcW w:w="3500"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检验项目</w:t>
            </w:r>
          </w:p>
        </w:tc>
        <w:tc>
          <w:tcPr>
            <w:tcW w:w="2901"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判定依据</w:t>
            </w:r>
          </w:p>
        </w:tc>
        <w:tc>
          <w:tcPr>
            <w:tcW w:w="2480"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jc w:val="center"/>
        </w:trPr>
        <w:tc>
          <w:tcPr>
            <w:tcW w:w="802"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3500"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901" w:type="dxa"/>
            <w:vMerge w:val="continue"/>
            <w:tcBorders>
              <w:top w:val="nil"/>
            </w:tcBorders>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tcBorders>
              <w:top w:val="nil"/>
            </w:tcBorders>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1</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标志和颜色</w:t>
            </w:r>
          </w:p>
        </w:tc>
        <w:tc>
          <w:tcPr>
            <w:tcW w:w="2901"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GB4351.1-2005</w:t>
            </w:r>
          </w:p>
        </w:tc>
        <w:tc>
          <w:tcPr>
            <w:tcW w:w="2480"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GB4351.1-2005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2</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质量</w:t>
            </w:r>
          </w:p>
        </w:tc>
        <w:tc>
          <w:tcPr>
            <w:tcW w:w="2901"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3</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喷射性能</w:t>
            </w:r>
          </w:p>
        </w:tc>
        <w:tc>
          <w:tcPr>
            <w:tcW w:w="2901"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4</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密封性能</w:t>
            </w:r>
          </w:p>
        </w:tc>
        <w:tc>
          <w:tcPr>
            <w:tcW w:w="2901"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水压试验</w:t>
            </w:r>
          </w:p>
        </w:tc>
        <w:tc>
          <w:tcPr>
            <w:tcW w:w="2901"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6</w:t>
            </w:r>
          </w:p>
        </w:tc>
        <w:tc>
          <w:tcPr>
            <w:tcW w:w="3500"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爆破试验</w:t>
            </w:r>
          </w:p>
        </w:tc>
        <w:tc>
          <w:tcPr>
            <w:tcW w:w="2901"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480"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0" w:hRule="atLeast"/>
          <w:jc w:val="center"/>
        </w:trPr>
        <w:tc>
          <w:tcPr>
            <w:tcW w:w="802"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p>
        </w:tc>
        <w:tc>
          <w:tcPr>
            <w:tcW w:w="3500" w:type="dxa"/>
            <w:tcBorders>
              <w:top w:val="single" w:color="auto" w:sz="4" w:space="0"/>
            </w:tcBorders>
            <w:vAlign w:val="center"/>
          </w:tcPr>
          <w:p>
            <w:pPr>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灭火剂和驱动气体（干粉灭火剂）</w:t>
            </w:r>
          </w:p>
        </w:tc>
        <w:tc>
          <w:tcPr>
            <w:tcW w:w="2901" w:type="dxa"/>
            <w:tcBorders>
              <w:top w:val="single" w:color="auto" w:sz="4" w:space="0"/>
            </w:tcBorders>
            <w:vAlign w:val="center"/>
          </w:tcPr>
          <w:p>
            <w:pPr>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4066-2017</w:t>
            </w:r>
          </w:p>
        </w:tc>
        <w:tc>
          <w:tcPr>
            <w:tcW w:w="2480" w:type="dxa"/>
            <w:tcBorders>
              <w:top w:val="single" w:color="auto" w:sz="4" w:space="0"/>
            </w:tcBorders>
            <w:vAlign w:val="center"/>
          </w:tcPr>
          <w:p>
            <w:pPr>
              <w:spacing w:line="580" w:lineRule="exact"/>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4066-2017</w:t>
            </w:r>
          </w:p>
        </w:tc>
      </w:tr>
    </w:tbl>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p>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表</w:t>
      </w:r>
      <w:r>
        <w:rPr>
          <w:rFonts w:hint="eastAsia" w:ascii="方正仿宋_GB2312" w:hAnsi="方正仿宋_GB2312" w:eastAsia="方正仿宋_GB2312" w:cs="方正仿宋_GB2312"/>
          <w:kern w:val="2"/>
          <w:sz w:val="32"/>
          <w:szCs w:val="32"/>
          <w:lang w:val="en-US" w:eastAsia="zh-CN" w:bidi="ar-SA"/>
        </w:rPr>
        <w:t>2</w:t>
      </w:r>
      <w:r>
        <w:rPr>
          <w:rFonts w:hint="eastAsia" w:ascii="方正仿宋_GB2312" w:hAnsi="方正仿宋_GB2312" w:eastAsia="方正仿宋_GB2312" w:cs="方正仿宋_GB2312"/>
          <w:kern w:val="2"/>
          <w:sz w:val="32"/>
          <w:szCs w:val="32"/>
          <w:lang w:val="en-US" w:bidi="ar-SA"/>
        </w:rPr>
        <w:tab/>
      </w:r>
      <w:r>
        <w:rPr>
          <w:rFonts w:hint="eastAsia" w:ascii="方正仿宋_GB2312" w:hAnsi="方正仿宋_GB2312" w:eastAsia="方正仿宋_GB2312" w:cs="方正仿宋_GB2312"/>
          <w:kern w:val="2"/>
          <w:sz w:val="32"/>
          <w:szCs w:val="32"/>
          <w:lang w:val="en-US" w:bidi="ar-SA"/>
        </w:rPr>
        <w:t>消防水枪产品检验项目</w:t>
      </w:r>
    </w:p>
    <w:tbl>
      <w:tblPr>
        <w:tblStyle w:val="13"/>
        <w:tblW w:w="954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9"/>
        <w:gridCol w:w="3495"/>
        <w:gridCol w:w="2645"/>
        <w:gridCol w:w="25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829"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序号</w:t>
            </w:r>
          </w:p>
        </w:tc>
        <w:tc>
          <w:tcPr>
            <w:tcW w:w="3495"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检验项目</w:t>
            </w:r>
          </w:p>
        </w:tc>
        <w:tc>
          <w:tcPr>
            <w:tcW w:w="2645"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判定依据</w:t>
            </w:r>
          </w:p>
        </w:tc>
        <w:tc>
          <w:tcPr>
            <w:tcW w:w="2577"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829"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3495"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645"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77" w:type="dxa"/>
            <w:vMerge w:val="continue"/>
            <w:tcBorders>
              <w:top w:val="nil"/>
            </w:tcBorders>
            <w:vAlign w:val="center"/>
          </w:tcPr>
          <w:p>
            <w:pPr>
              <w:autoSpaceDE/>
              <w:autoSpaceDN/>
              <w:spacing w:line="58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1</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标志</w:t>
            </w:r>
          </w:p>
        </w:tc>
        <w:tc>
          <w:tcPr>
            <w:tcW w:w="2645"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8181-2005</w:t>
            </w:r>
          </w:p>
        </w:tc>
        <w:tc>
          <w:tcPr>
            <w:tcW w:w="2577" w:type="dxa"/>
            <w:vMerge w:val="restart"/>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8181-2005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2</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操作结构要求</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3</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表面质量</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4</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螺纹</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密封性能</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6</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耐水压强度</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7</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使用环境温度</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8</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抗跌落性能</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trPr>
        <w:tc>
          <w:tcPr>
            <w:tcW w:w="829"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9</w:t>
            </w:r>
          </w:p>
        </w:tc>
        <w:tc>
          <w:tcPr>
            <w:tcW w:w="3495" w:type="dxa"/>
            <w:vAlign w:val="center"/>
          </w:tcPr>
          <w:p>
            <w:pPr>
              <w:autoSpaceDE/>
              <w:autoSpaceDN/>
              <w:spacing w:line="58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耐腐蚀性能</w:t>
            </w:r>
          </w:p>
        </w:tc>
        <w:tc>
          <w:tcPr>
            <w:tcW w:w="2645"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c>
          <w:tcPr>
            <w:tcW w:w="2577" w:type="dxa"/>
            <w:vMerge w:val="continue"/>
            <w:vAlign w:val="center"/>
          </w:tcPr>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p>
        </w:tc>
      </w:tr>
    </w:tbl>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表</w:t>
      </w:r>
      <w:r>
        <w:rPr>
          <w:rFonts w:hint="eastAsia" w:ascii="方正仿宋_GB2312" w:hAnsi="方正仿宋_GB2312" w:eastAsia="方正仿宋_GB2312" w:cs="方正仿宋_GB2312"/>
          <w:kern w:val="2"/>
          <w:sz w:val="32"/>
          <w:szCs w:val="32"/>
          <w:lang w:val="en-US" w:eastAsia="zh-CN" w:bidi="ar-SA"/>
        </w:rPr>
        <w:t>3</w:t>
      </w:r>
      <w:r>
        <w:rPr>
          <w:rFonts w:hint="eastAsia" w:ascii="方正仿宋_GB2312" w:hAnsi="方正仿宋_GB2312" w:eastAsia="方正仿宋_GB2312" w:cs="方正仿宋_GB2312"/>
          <w:kern w:val="2"/>
          <w:sz w:val="32"/>
          <w:szCs w:val="32"/>
          <w:lang w:val="en-US" w:bidi="ar-SA"/>
        </w:rPr>
        <w:tab/>
      </w:r>
      <w:r>
        <w:rPr>
          <w:rFonts w:hint="eastAsia" w:ascii="方正仿宋_GB2312" w:hAnsi="方正仿宋_GB2312" w:eastAsia="方正仿宋_GB2312" w:cs="方正仿宋_GB2312"/>
          <w:kern w:val="2"/>
          <w:sz w:val="32"/>
          <w:szCs w:val="32"/>
          <w:lang w:val="en-US" w:bidi="ar-SA"/>
        </w:rPr>
        <w:t>消防应急灯具产品检验项目</w:t>
      </w:r>
    </w:p>
    <w:tbl>
      <w:tblPr>
        <w:tblStyle w:val="13"/>
        <w:tblW w:w="95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0"/>
        <w:gridCol w:w="3488"/>
        <w:gridCol w:w="2707"/>
        <w:gridCol w:w="2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820"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序号</w:t>
            </w:r>
          </w:p>
        </w:tc>
        <w:tc>
          <w:tcPr>
            <w:tcW w:w="3488"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检验项目</w:t>
            </w:r>
          </w:p>
        </w:tc>
        <w:tc>
          <w:tcPr>
            <w:tcW w:w="2707"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判定依据</w:t>
            </w:r>
          </w:p>
        </w:tc>
        <w:tc>
          <w:tcPr>
            <w:tcW w:w="2533"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820" w:type="dxa"/>
            <w:vMerge w:val="continue"/>
            <w:tcBorders>
              <w:top w:val="nil"/>
            </w:tcBorders>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3488" w:type="dxa"/>
            <w:vMerge w:val="continue"/>
            <w:tcBorders>
              <w:top w:val="nil"/>
            </w:tcBorders>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707" w:type="dxa"/>
            <w:vMerge w:val="continue"/>
            <w:tcBorders>
              <w:top w:val="nil"/>
            </w:tcBorders>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tcBorders>
              <w:top w:val="nil"/>
            </w:tcBorders>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1</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标志</w:t>
            </w:r>
          </w:p>
        </w:tc>
        <w:tc>
          <w:tcPr>
            <w:tcW w:w="2707"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sz w:val="32"/>
                <w:szCs w:val="32"/>
              </w:rPr>
              <w:t>GB 17945-2010</w:t>
            </w:r>
          </w:p>
        </w:tc>
        <w:tc>
          <w:tcPr>
            <w:tcW w:w="2533" w:type="dxa"/>
            <w:vMerge w:val="restart"/>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sz w:val="32"/>
                <w:szCs w:val="32"/>
              </w:rPr>
              <w:t>GB 17945-2010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2</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sz w:val="32"/>
                <w:szCs w:val="32"/>
                <w:lang w:val="en-US" w:bidi="ar-SA"/>
              </w:rPr>
              <w:t>通用要求</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3</w:t>
            </w:r>
          </w:p>
        </w:tc>
        <w:tc>
          <w:tcPr>
            <w:tcW w:w="3488" w:type="dxa"/>
            <w:vAlign w:val="center"/>
          </w:tcPr>
          <w:p>
            <w:pPr>
              <w:snapToGrid w:val="0"/>
              <w:spacing w:line="600" w:lineRule="exact"/>
              <w:jc w:val="center"/>
              <w:rPr>
                <w:rFonts w:hint="eastAsia" w:ascii="方正仿宋_GB2312" w:hAnsi="方正仿宋_GB2312" w:eastAsia="方正仿宋_GB2312" w:cs="方正仿宋_GB2312"/>
                <w:sz w:val="32"/>
                <w:szCs w:val="32"/>
                <w:lang w:val="en-US" w:bidi="ar-SA"/>
              </w:rPr>
            </w:pPr>
            <w:r>
              <w:rPr>
                <w:rFonts w:hint="eastAsia" w:ascii="方正仿宋_GB2312" w:hAnsi="方正仿宋_GB2312" w:eastAsia="方正仿宋_GB2312" w:cs="方正仿宋_GB2312"/>
                <w:sz w:val="32"/>
                <w:szCs w:val="32"/>
                <w:lang w:val="en-US" w:bidi="ar-SA"/>
              </w:rPr>
              <w:t>基本功能试验（7.2.2.2应急工作时间、7.2.2.3表面亮度、7.2.2.5非正常状态、7.2.2.14闪亮频率）</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4</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重复转换试验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sz w:val="32"/>
                <w:szCs w:val="32"/>
                <w:lang w:val="en-US" w:bidi="ar-SA"/>
              </w:rPr>
              <w:t>电压波动</w:t>
            </w:r>
            <w:r>
              <w:rPr>
                <w:rFonts w:hint="eastAsia" w:ascii="方正仿宋_GB2312" w:hAnsi="方正仿宋_GB2312" w:eastAsia="方正仿宋_GB2312" w:cs="方正仿宋_GB2312"/>
                <w:color w:val="000000"/>
                <w:sz w:val="32"/>
                <w:szCs w:val="32"/>
                <w:lang w:val="en-US" w:bidi="ar-SA"/>
              </w:rPr>
              <w:t>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6</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转换电压试验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7</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绝缘电阻试验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8</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接地电阻试验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820" w:type="dxa"/>
            <w:vAlign w:val="center"/>
          </w:tcPr>
          <w:p>
            <w:pPr>
              <w:autoSpaceDE/>
              <w:autoSpaceDN/>
              <w:spacing w:line="600" w:lineRule="exact"/>
              <w:jc w:val="center"/>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9</w:t>
            </w:r>
          </w:p>
        </w:tc>
        <w:tc>
          <w:tcPr>
            <w:tcW w:w="3488" w:type="dxa"/>
            <w:vAlign w:val="center"/>
          </w:tcPr>
          <w:p>
            <w:pPr>
              <w:snapToGrid w:val="0"/>
              <w:spacing w:line="60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bidi="ar-SA"/>
              </w:rPr>
              <w:t>耐压试验</w:t>
            </w:r>
          </w:p>
        </w:tc>
        <w:tc>
          <w:tcPr>
            <w:tcW w:w="2707"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c>
          <w:tcPr>
            <w:tcW w:w="2533" w:type="dxa"/>
            <w:vMerge w:val="continue"/>
            <w:vAlign w:val="center"/>
          </w:tcPr>
          <w:p>
            <w:pPr>
              <w:autoSpaceDE/>
              <w:autoSpaceDN/>
              <w:spacing w:line="600" w:lineRule="exact"/>
              <w:ind w:firstLine="640" w:firstLineChars="200"/>
              <w:jc w:val="center"/>
              <w:rPr>
                <w:rFonts w:hint="eastAsia" w:ascii="方正仿宋_GB2312" w:hAnsi="方正仿宋_GB2312" w:eastAsia="方正仿宋_GB2312" w:cs="方正仿宋_GB2312"/>
                <w:kern w:val="2"/>
                <w:sz w:val="32"/>
                <w:szCs w:val="32"/>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 w:hRule="atLeast"/>
          <w:jc w:val="center"/>
        </w:trPr>
        <w:tc>
          <w:tcPr>
            <w:tcW w:w="9548" w:type="dxa"/>
            <w:gridSpan w:val="4"/>
            <w:vAlign w:val="center"/>
          </w:tcPr>
          <w:p>
            <w:pPr>
              <w:autoSpaceDE/>
              <w:autoSpaceDN/>
              <w:spacing w:line="600" w:lineRule="exact"/>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lang w:val="en-US"/>
              </w:rPr>
              <w:t xml:space="preserve">a </w:t>
            </w:r>
            <w:r>
              <w:rPr>
                <w:rFonts w:hint="eastAsia" w:ascii="方正仿宋_GB2312" w:hAnsi="方正仿宋_GB2312" w:eastAsia="方正仿宋_GB2312" w:cs="方正仿宋_GB2312"/>
                <w:kern w:val="2"/>
              </w:rPr>
              <w:t>具备耐低温性能的消防应急灯具不进行-10℃预处理后的冲击吸收性能及耐穿刺性能测试。</w:t>
            </w:r>
          </w:p>
        </w:tc>
      </w:tr>
    </w:tbl>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检验方法包括相关产品标准及试验方法标准。</w:t>
      </w:r>
    </w:p>
    <w:p>
      <w:pPr>
        <w:autoSpaceDE/>
        <w:autoSpaceDN/>
        <w:spacing w:line="580" w:lineRule="exact"/>
        <w:ind w:firstLine="640"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kern w:val="2"/>
          <w:sz w:val="32"/>
          <w:szCs w:val="32"/>
          <w:lang w:val="en-US" w:bidi="ar-SA"/>
        </w:rPr>
        <w:t>凡是注日期的文件，其随后所有的修改单（不包括勘误的内容）或修订版不适用于本细则。凡是不注日期的文件，其最新版本适用于本细则。</w:t>
      </w:r>
    </w:p>
    <w:p>
      <w:pPr>
        <w:autoSpaceDE/>
        <w:autoSpaceDN/>
        <w:spacing w:line="580" w:lineRule="exact"/>
        <w:ind w:firstLine="643"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b/>
          <w:kern w:val="2"/>
          <w:sz w:val="32"/>
          <w:szCs w:val="32"/>
          <w:lang w:val="en-US" w:bidi="ar-SA"/>
        </w:rPr>
        <w:t>4.判定规则</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4.1依据标准</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4351.1-2005 手提式灭火器 第1部分：性能和结构要求</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8181-2005消防水枪</w:t>
      </w:r>
    </w:p>
    <w:p>
      <w:pPr>
        <w:pStyle w:val="4"/>
        <w:shd w:val="clear" w:color="auto" w:fill="FFFFFF"/>
        <w:spacing w:before="0" w:line="600" w:lineRule="exact"/>
        <w:ind w:left="0" w:firstLine="640" w:firstLineChars="200"/>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GB 17945-2010消防应急照明和疏散指示系统</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现行有效的企业标准、团体标准、地方标准及产品明示质量要求</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4.2判定原则</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抽查消防器材产品经检验，检验项目全部合格，判定为抽查产品合格；检验项目中任一项或一项以上不合格，判定为被抽查产品不合格。</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若被检产品明示的质量要求高于本细则中检验项目依据的标准要求时，应按被检产品明示的质量要求判定。</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若被检产品明示的质量要求低于本细则中检验项目依据的强制性标准要求时，应按照强制性标准要求判定。</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若被检产品明示的质量要求低于或包含细则中检验项目依据的推荐性标准要求时，应以被检产品明示的质量要求判定，但应在检验报告备注中进行说明。</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若被检产品明示的质量要求缺少本细则中检验项目依据的强制性标准要求时，应按照强制性标准要求判定。</w:t>
      </w:r>
    </w:p>
    <w:p>
      <w:pPr>
        <w:autoSpaceDE/>
        <w:autoSpaceDN/>
        <w:spacing w:line="580" w:lineRule="exact"/>
        <w:ind w:firstLine="640"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kern w:val="2"/>
          <w:sz w:val="32"/>
          <w:szCs w:val="32"/>
          <w:lang w:val="en-US" w:bidi="ar-SA"/>
        </w:rPr>
        <w:t>若被检产品明示的质量要求缺少本细则中检验项目依据的推荐性标准要求时，该项目不参与判定，但应在检验报告备注中进行说明。</w:t>
      </w:r>
    </w:p>
    <w:p>
      <w:pPr>
        <w:autoSpaceDE/>
        <w:autoSpaceDN/>
        <w:spacing w:line="580" w:lineRule="exact"/>
        <w:ind w:firstLine="643" w:firstLineChars="200"/>
        <w:jc w:val="both"/>
        <w:rPr>
          <w:rFonts w:hint="eastAsia" w:ascii="方正仿宋_GB2312" w:hAnsi="方正仿宋_GB2312" w:eastAsia="方正仿宋_GB2312" w:cs="方正仿宋_GB2312"/>
          <w:b/>
          <w:kern w:val="2"/>
          <w:sz w:val="32"/>
          <w:szCs w:val="32"/>
          <w:lang w:val="en-US" w:bidi="ar-SA"/>
        </w:rPr>
      </w:pPr>
      <w:r>
        <w:rPr>
          <w:rFonts w:hint="eastAsia" w:ascii="方正仿宋_GB2312" w:hAnsi="方正仿宋_GB2312" w:eastAsia="方正仿宋_GB2312" w:cs="方正仿宋_GB2312"/>
          <w:b/>
          <w:kern w:val="2"/>
          <w:sz w:val="32"/>
          <w:szCs w:val="32"/>
          <w:lang w:val="en-US" w:bidi="ar-SA"/>
        </w:rPr>
        <w:t>5.异议处理</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5.1对监督抽查程序有异议的，由任务下达部门核查相关证据后维持或者撤销原检验结果。</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pPr>
        <w:autoSpaceDE/>
        <w:autoSpaceDN/>
        <w:spacing w:line="580" w:lineRule="exact"/>
        <w:ind w:firstLine="640" w:firstLineChars="200"/>
        <w:jc w:val="both"/>
        <w:rPr>
          <w:rFonts w:hint="eastAsia" w:ascii="方正仿宋_GB2312" w:hAnsi="方正仿宋_GB2312" w:eastAsia="方正仿宋_GB2312" w:cs="方正仿宋_GB2312"/>
          <w:kern w:val="2"/>
          <w:sz w:val="32"/>
          <w:szCs w:val="32"/>
          <w:lang w:val="en-US" w:bidi="ar-SA"/>
        </w:rPr>
      </w:pPr>
      <w:r>
        <w:rPr>
          <w:rFonts w:hint="eastAsia" w:ascii="方正仿宋_GB2312" w:hAnsi="方正仿宋_GB2312" w:eastAsia="方正仿宋_GB2312" w:cs="方正仿宋_GB2312"/>
          <w:kern w:val="2"/>
          <w:sz w:val="32"/>
          <w:szCs w:val="32"/>
          <w:lang w:val="en-US" w:bidi="ar-SA"/>
        </w:rPr>
        <w:t>5.3对样品信息有异议的，任务下达部门核查样品确认情况和生产企业提交证明材料后，维持或者撤销原检验结果。</w:t>
      </w:r>
    </w:p>
    <w:p>
      <w:pPr>
        <w:pStyle w:val="5"/>
        <w:tabs>
          <w:tab w:val="left" w:pos="967"/>
          <w:tab w:val="left" w:pos="969"/>
        </w:tabs>
        <w:spacing w:before="120" w:line="360" w:lineRule="auto"/>
        <w:ind w:left="0" w:firstLine="422" w:firstLineChars="200"/>
        <w:rPr>
          <w:rFonts w:hint="eastAsia" w:ascii="方正仿宋_GB2312" w:hAnsi="方正仿宋_GB2312" w:eastAsia="方正仿宋_GB2312" w:cs="方正仿宋_GB2312"/>
          <w:kern w:val="2"/>
        </w:rPr>
      </w:pPr>
    </w:p>
    <w:sectPr>
      <w:footerReference r:id="rId3" w:type="default"/>
      <w:pgSz w:w="11910" w:h="16840"/>
      <w:pgMar w:top="1440" w:right="1080" w:bottom="1440" w:left="10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3622675</wp:posOffset>
              </wp:positionH>
              <wp:positionV relativeFrom="page">
                <wp:posOffset>9937750</wp:posOffset>
              </wp:positionV>
              <wp:extent cx="315595" cy="173355"/>
              <wp:effectExtent l="0" t="0" r="0" b="0"/>
              <wp:wrapNone/>
              <wp:docPr id="2" name="Text Box 1"/>
              <wp:cNvGraphicFramePr/>
              <a:graphic xmlns:a="http://schemas.openxmlformats.org/drawingml/2006/main">
                <a:graphicData uri="http://schemas.microsoft.com/office/word/2010/wordprocessingShape">
                  <wps:wsp>
                    <wps:cNvSpPr txBox="1">
                      <a:spLocks noChangeArrowheads="1"/>
                    </wps:cNvSpPr>
                    <wps:spPr bwMode="auto">
                      <a:xfrm>
                        <a:off x="0" y="0"/>
                        <a:ext cx="315595" cy="173355"/>
                      </a:xfrm>
                      <a:prstGeom prst="rect">
                        <a:avLst/>
                      </a:prstGeom>
                      <a:noFill/>
                      <a:ln>
                        <a:noFill/>
                      </a:ln>
                      <a:effectLst/>
                    </wps:spPr>
                    <wps:txbx>
                      <w:txbxContent>
                        <w:p>
                          <w:pPr>
                            <w:pStyle w:val="6"/>
                            <w:spacing w:before="11"/>
                            <w:ind w:left="20"/>
                            <w:rPr>
                              <w:rFonts w:ascii="Times New Roman"/>
                            </w:rPr>
                          </w:pPr>
                          <w:r>
                            <w:rPr>
                              <w:rFonts w:ascii="Times New Roman"/>
                            </w:rPr>
                            <w:t xml:space="preserve">- </w:t>
                          </w:r>
                          <w:r>
                            <w:fldChar w:fldCharType="begin"/>
                          </w:r>
                          <w:r>
                            <w:rPr>
                              <w:rFonts w:ascii="Times New Roman"/>
                            </w:rPr>
                            <w:instrText xml:space="preserve"> PAGE </w:instrText>
                          </w:r>
                          <w:r>
                            <w:fldChar w:fldCharType="separate"/>
                          </w:r>
                          <w:r>
                            <w:rPr>
                              <w:rFonts w:ascii="Times New Roman"/>
                            </w:rPr>
                            <w:t>7</w:t>
                          </w:r>
                          <w:r>
                            <w:fldChar w:fldCharType="end"/>
                          </w:r>
                          <w:r>
                            <w:rPr>
                              <w:rFonts w:ascii="Times New Roman"/>
                            </w:rPr>
                            <w:t xml:space="preserve"> -</w:t>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85.25pt;margin-top:782.5pt;height:13.65pt;width:24.85pt;mso-position-horizontal-relative:page;mso-position-vertical-relative:page;z-index:-251657216;mso-width-relative:page;mso-height-relative:page;" filled="f" stroked="f" coordsize="21600,21600" o:gfxdata="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rdppNoAAAANAQAADwAAAAAAAAABACAAAAAiAAAAZHJz&#10;L2Rvd25yZXYueG1sUEsBAhQAFAAAAAgAh07iQNWJauoCAgAAEQQAAA4AAAAAAAAAAQAgAAAAKQEA&#10;AGRycy9lMm9Eb2MueG1sUEsFBgAAAAAGAAYAWQEAAJ0FAAAAAA==&#10;">
              <v:fill on="f" focussize="0,0"/>
              <v:stroke on="f"/>
              <v:imagedata o:title=""/>
              <o:lock v:ext="edit" aspectratio="f"/>
              <v:textbox inset="0mm,0mm,0mm,0mm">
                <w:txbxContent>
                  <w:p>
                    <w:pPr>
                      <w:pStyle w:val="6"/>
                      <w:spacing w:before="11"/>
                      <w:ind w:left="20"/>
                      <w:rPr>
                        <w:rFonts w:ascii="Times New Roman"/>
                      </w:rPr>
                    </w:pPr>
                    <w:r>
                      <w:rPr>
                        <w:rFonts w:ascii="Times New Roman"/>
                      </w:rPr>
                      <w:t xml:space="preserve">- </w:t>
                    </w:r>
                    <w:r>
                      <w:fldChar w:fldCharType="begin"/>
                    </w:r>
                    <w:r>
                      <w:rPr>
                        <w:rFonts w:ascii="Times New Roman"/>
                      </w:rPr>
                      <w:instrText xml:space="preserve"> PAGE </w:instrText>
                    </w:r>
                    <w:r>
                      <w:fldChar w:fldCharType="separate"/>
                    </w:r>
                    <w:r>
                      <w:rPr>
                        <w:rFonts w:ascii="Times New Roman"/>
                      </w:rPr>
                      <w:t>7</w:t>
                    </w:r>
                    <w:r>
                      <w:fldChar w:fldCharType="end"/>
                    </w:r>
                    <w:r>
                      <w:rPr>
                        <w:rFonts w:ascii="Times New Roma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jE5ZDFkNGZiNzVjOTE5MDFhYTlhYjI3NTJmM2EifQ=="/>
  </w:docVars>
  <w:rsids>
    <w:rsidRoot w:val="00D74BB0"/>
    <w:rsid w:val="0000650C"/>
    <w:rsid w:val="0003266E"/>
    <w:rsid w:val="00042E52"/>
    <w:rsid w:val="000630F8"/>
    <w:rsid w:val="00075D2C"/>
    <w:rsid w:val="000831B2"/>
    <w:rsid w:val="000C40CE"/>
    <w:rsid w:val="000E438C"/>
    <w:rsid w:val="000F1035"/>
    <w:rsid w:val="00114B79"/>
    <w:rsid w:val="00164799"/>
    <w:rsid w:val="00164C00"/>
    <w:rsid w:val="001760BA"/>
    <w:rsid w:val="001B521C"/>
    <w:rsid w:val="001C333A"/>
    <w:rsid w:val="001C67A8"/>
    <w:rsid w:val="002153D6"/>
    <w:rsid w:val="002644F5"/>
    <w:rsid w:val="002851E4"/>
    <w:rsid w:val="002B6731"/>
    <w:rsid w:val="002D7400"/>
    <w:rsid w:val="003031BA"/>
    <w:rsid w:val="003175BB"/>
    <w:rsid w:val="0036591F"/>
    <w:rsid w:val="003863A7"/>
    <w:rsid w:val="00395BCD"/>
    <w:rsid w:val="003A2255"/>
    <w:rsid w:val="003C3276"/>
    <w:rsid w:val="003D4C42"/>
    <w:rsid w:val="003F728D"/>
    <w:rsid w:val="004058B1"/>
    <w:rsid w:val="00432A23"/>
    <w:rsid w:val="00435ACF"/>
    <w:rsid w:val="004626D2"/>
    <w:rsid w:val="00477D1A"/>
    <w:rsid w:val="00480191"/>
    <w:rsid w:val="0048122B"/>
    <w:rsid w:val="00491441"/>
    <w:rsid w:val="0049207F"/>
    <w:rsid w:val="00493196"/>
    <w:rsid w:val="004B1147"/>
    <w:rsid w:val="004B1CE9"/>
    <w:rsid w:val="00533F57"/>
    <w:rsid w:val="00537E82"/>
    <w:rsid w:val="00557205"/>
    <w:rsid w:val="00570774"/>
    <w:rsid w:val="00570BFF"/>
    <w:rsid w:val="005808E2"/>
    <w:rsid w:val="005833D3"/>
    <w:rsid w:val="0059530F"/>
    <w:rsid w:val="005A4318"/>
    <w:rsid w:val="00611AA6"/>
    <w:rsid w:val="00611E80"/>
    <w:rsid w:val="00614648"/>
    <w:rsid w:val="00621C5C"/>
    <w:rsid w:val="00665DE6"/>
    <w:rsid w:val="00684D22"/>
    <w:rsid w:val="00692EF4"/>
    <w:rsid w:val="006B3A82"/>
    <w:rsid w:val="00721CB4"/>
    <w:rsid w:val="007312EA"/>
    <w:rsid w:val="0074736E"/>
    <w:rsid w:val="007522DE"/>
    <w:rsid w:val="00775579"/>
    <w:rsid w:val="008225CF"/>
    <w:rsid w:val="008A1841"/>
    <w:rsid w:val="008A359A"/>
    <w:rsid w:val="008F390B"/>
    <w:rsid w:val="009034C0"/>
    <w:rsid w:val="00903E92"/>
    <w:rsid w:val="00923C62"/>
    <w:rsid w:val="0092481B"/>
    <w:rsid w:val="009249DD"/>
    <w:rsid w:val="009555B3"/>
    <w:rsid w:val="0097539F"/>
    <w:rsid w:val="0098052D"/>
    <w:rsid w:val="009B67B6"/>
    <w:rsid w:val="009D697B"/>
    <w:rsid w:val="00A30987"/>
    <w:rsid w:val="00A60356"/>
    <w:rsid w:val="00A61ABB"/>
    <w:rsid w:val="00AA3B6D"/>
    <w:rsid w:val="00AC0C0B"/>
    <w:rsid w:val="00AC3FED"/>
    <w:rsid w:val="00AE2A65"/>
    <w:rsid w:val="00AF6DC8"/>
    <w:rsid w:val="00B01048"/>
    <w:rsid w:val="00B07BCE"/>
    <w:rsid w:val="00B52AAF"/>
    <w:rsid w:val="00B54B48"/>
    <w:rsid w:val="00B70480"/>
    <w:rsid w:val="00B913AD"/>
    <w:rsid w:val="00B95581"/>
    <w:rsid w:val="00BC446E"/>
    <w:rsid w:val="00BC5687"/>
    <w:rsid w:val="00BD18CC"/>
    <w:rsid w:val="00C16AD7"/>
    <w:rsid w:val="00C201F5"/>
    <w:rsid w:val="00C53ED0"/>
    <w:rsid w:val="00C9766F"/>
    <w:rsid w:val="00CC1D12"/>
    <w:rsid w:val="00CF7936"/>
    <w:rsid w:val="00D74BB0"/>
    <w:rsid w:val="00DD4AF9"/>
    <w:rsid w:val="00DE70E1"/>
    <w:rsid w:val="00DF1F9E"/>
    <w:rsid w:val="00E02AF4"/>
    <w:rsid w:val="00E17597"/>
    <w:rsid w:val="00E44FF8"/>
    <w:rsid w:val="00E937BA"/>
    <w:rsid w:val="00ED4951"/>
    <w:rsid w:val="00F154C7"/>
    <w:rsid w:val="00F5409D"/>
    <w:rsid w:val="00F67193"/>
    <w:rsid w:val="00FB0EB0"/>
    <w:rsid w:val="00FC734D"/>
    <w:rsid w:val="00FD14E7"/>
    <w:rsid w:val="00FE1F30"/>
    <w:rsid w:val="00FF04EC"/>
    <w:rsid w:val="0B007BD2"/>
    <w:rsid w:val="117D5540"/>
    <w:rsid w:val="14BD0584"/>
    <w:rsid w:val="1AD867BE"/>
    <w:rsid w:val="21976A4A"/>
    <w:rsid w:val="37F95C4C"/>
    <w:rsid w:val="408860C8"/>
    <w:rsid w:val="4C753AE6"/>
    <w:rsid w:val="4F174970"/>
    <w:rsid w:val="5BF72138"/>
    <w:rsid w:val="5E631DAD"/>
    <w:rsid w:val="68EE2392"/>
    <w:rsid w:val="6A7FF112"/>
    <w:rsid w:val="6EBDB460"/>
    <w:rsid w:val="75A75FC0"/>
    <w:rsid w:val="BF7FC9EC"/>
    <w:rsid w:val="D9EE4008"/>
    <w:rsid w:val="FBF5BB59"/>
    <w:rsid w:val="FBF68305"/>
    <w:rsid w:val="FD9F72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2121" w:right="2138"/>
      <w:jc w:val="center"/>
      <w:outlineLvl w:val="0"/>
    </w:pPr>
    <w:rPr>
      <w:b/>
      <w:bCs/>
      <w:sz w:val="32"/>
      <w:szCs w:val="32"/>
    </w:rPr>
  </w:style>
  <w:style w:type="paragraph" w:styleId="3">
    <w:name w:val="heading 2"/>
    <w:basedOn w:val="1"/>
    <w:next w:val="1"/>
    <w:qFormat/>
    <w:uiPriority w:val="1"/>
    <w:pPr>
      <w:ind w:left="789"/>
      <w:outlineLvl w:val="1"/>
    </w:pPr>
    <w:rPr>
      <w:b/>
      <w:bCs/>
      <w:sz w:val="28"/>
      <w:szCs w:val="28"/>
    </w:rPr>
  </w:style>
  <w:style w:type="paragraph" w:styleId="4">
    <w:name w:val="heading 3"/>
    <w:basedOn w:val="1"/>
    <w:next w:val="1"/>
    <w:qFormat/>
    <w:uiPriority w:val="1"/>
    <w:pPr>
      <w:spacing w:before="186"/>
      <w:ind w:left="227"/>
      <w:outlineLvl w:val="2"/>
    </w:pPr>
    <w:rPr>
      <w:sz w:val="28"/>
      <w:szCs w:val="28"/>
    </w:rPr>
  </w:style>
  <w:style w:type="paragraph" w:styleId="5">
    <w:name w:val="heading 4"/>
    <w:basedOn w:val="1"/>
    <w:next w:val="1"/>
    <w:qFormat/>
    <w:uiPriority w:val="1"/>
    <w:pPr>
      <w:ind w:left="862"/>
      <w:outlineLvl w:val="3"/>
    </w:pPr>
    <w:rPr>
      <w:b/>
      <w:bCs/>
      <w:sz w:val="21"/>
      <w:szCs w:val="21"/>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19"/>
    <w:qFormat/>
    <w:uiPriority w:val="1"/>
    <w:rPr>
      <w:sz w:val="21"/>
      <w:szCs w:val="21"/>
    </w:rPr>
  </w:style>
  <w:style w:type="paragraph" w:styleId="7">
    <w:name w:val="Balloon Text"/>
    <w:basedOn w:val="1"/>
    <w:link w:val="16"/>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
    <w:name w:val="Table Normal"/>
    <w:unhideWhenUsed/>
    <w:qFormat/>
    <w:uiPriority w:val="2"/>
    <w:tblPr>
      <w:tblCellMar>
        <w:top w:w="0" w:type="dxa"/>
        <w:left w:w="0" w:type="dxa"/>
        <w:bottom w:w="0" w:type="dxa"/>
        <w:right w:w="0" w:type="dxa"/>
      </w:tblCellMar>
    </w:tblPr>
  </w:style>
  <w:style w:type="paragraph" w:customStyle="1" w:styleId="14">
    <w:name w:val="列出段落1"/>
    <w:basedOn w:val="1"/>
    <w:qFormat/>
    <w:uiPriority w:val="1"/>
    <w:pPr>
      <w:ind w:left="227" w:firstLine="420"/>
    </w:pPr>
  </w:style>
  <w:style w:type="paragraph" w:customStyle="1" w:styleId="15">
    <w:name w:val="Table Paragraph"/>
    <w:basedOn w:val="1"/>
    <w:qFormat/>
    <w:uiPriority w:val="1"/>
  </w:style>
  <w:style w:type="character" w:customStyle="1" w:styleId="16">
    <w:name w:val="批注框文本 Char"/>
    <w:basedOn w:val="12"/>
    <w:link w:val="7"/>
    <w:semiHidden/>
    <w:qFormat/>
    <w:uiPriority w:val="99"/>
    <w:rPr>
      <w:rFonts w:ascii="宋体" w:hAnsi="宋体" w:eastAsia="宋体" w:cs="宋体"/>
      <w:sz w:val="18"/>
      <w:szCs w:val="18"/>
      <w:lang w:val="zh-CN" w:eastAsia="zh-CN" w:bidi="zh-CN"/>
    </w:rPr>
  </w:style>
  <w:style w:type="character" w:customStyle="1" w:styleId="17">
    <w:name w:val="页眉 Char"/>
    <w:basedOn w:val="12"/>
    <w:link w:val="9"/>
    <w:qFormat/>
    <w:uiPriority w:val="99"/>
    <w:rPr>
      <w:rFonts w:ascii="宋体" w:hAnsi="宋体" w:eastAsia="宋体" w:cs="宋体"/>
      <w:sz w:val="18"/>
      <w:szCs w:val="18"/>
      <w:lang w:val="zh-CN" w:eastAsia="zh-CN" w:bidi="zh-CN"/>
    </w:rPr>
  </w:style>
  <w:style w:type="character" w:customStyle="1" w:styleId="18">
    <w:name w:val="页脚 Char"/>
    <w:basedOn w:val="12"/>
    <w:link w:val="8"/>
    <w:qFormat/>
    <w:uiPriority w:val="99"/>
    <w:rPr>
      <w:rFonts w:ascii="宋体" w:hAnsi="宋体" w:eastAsia="宋体" w:cs="宋体"/>
      <w:sz w:val="18"/>
      <w:szCs w:val="18"/>
      <w:lang w:val="zh-CN" w:eastAsia="zh-CN" w:bidi="zh-CN"/>
    </w:rPr>
  </w:style>
  <w:style w:type="character" w:customStyle="1" w:styleId="19">
    <w:name w:val="正文文本 Char"/>
    <w:basedOn w:val="12"/>
    <w:link w:val="6"/>
    <w:qFormat/>
    <w:uiPriority w:val="1"/>
    <w:rPr>
      <w:rFonts w:ascii="宋体" w:hAnsi="宋体" w:eastAsia="宋体" w:cs="宋体"/>
      <w:sz w:val="21"/>
      <w:szCs w:val="21"/>
      <w:lang w:val="zh-CN" w:eastAsia="zh-CN" w:bidi="zh-CN"/>
    </w:rPr>
  </w:style>
  <w:style w:type="character" w:customStyle="1" w:styleId="20">
    <w:name w:val="fontstyle01"/>
    <w:basedOn w:val="12"/>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合肥产品质量监督检验研究院</Company>
  <Pages>7</Pages>
  <Words>397</Words>
  <Characters>2267</Characters>
  <Lines>18</Lines>
  <Paragraphs>5</Paragraphs>
  <TotalTime>1</TotalTime>
  <ScaleCrop>false</ScaleCrop>
  <LinksUpToDate>false</LinksUpToDate>
  <CharactersWithSpaces>2659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2020-08-01T14:43:00Z</dcterms:created>
  <dc:creator>合肥质检院，程浩</dc:creator>
  <cp:lastModifiedBy>小夜</cp:lastModifiedBy>
  <dcterms:modified xsi:type="dcterms:W3CDTF">2023-10-27T08:19:14Z</dcterms:modified>
  <dc:title>安全帽产品质量监督抽查实施细则</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2018-08-02T00:00:00Z</vt:filetime>
  </property>
  <property fmtid="{D5CDD505-2E9C-101B-9397-08002B2CF9AE}" pid="3" name="Creator">
    <vt:lpwstr>PScript5.dll Version 5.2</vt:lpwstr>
  </property>
  <property fmtid="{D5CDD505-2E9C-101B-9397-08002B2CF9AE}" pid="4" name="LastSaved">
    <vt:filetime>2019-01-21T00:00:00Z</vt:filetime>
  </property>
  <property fmtid="{D5CDD505-2E9C-101B-9397-08002B2CF9AE}" pid="5" name="KSOProductBuildVer">
    <vt:lpwstr>2052-12.1.0.15712</vt:lpwstr>
  </property>
  <property fmtid="{D5CDD505-2E9C-101B-9397-08002B2CF9AE}" pid="6" name="ICV">
    <vt:lpwstr>5CD86093AAEF4AEFB42D82527386E7DF_13</vt:lpwstr>
  </property>
</Properties>
</file>