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FA2F6">
      <w:pPr>
        <w:spacing w:line="360" w:lineRule="auto"/>
        <w:jc w:val="center"/>
        <w:rPr>
          <w:rFonts w:asciiTheme="minorEastAsia" w:hAnsiTheme="minorEastAsia"/>
          <w:b/>
          <w:bCs/>
          <w:sz w:val="32"/>
          <w:szCs w:val="32"/>
        </w:rPr>
      </w:pPr>
      <w:r>
        <w:rPr>
          <w:rFonts w:hint="eastAsia" w:asciiTheme="minorEastAsia" w:hAnsiTheme="minorEastAsia"/>
          <w:b/>
          <w:bCs/>
          <w:sz w:val="32"/>
          <w:szCs w:val="32"/>
        </w:rPr>
        <w:t>连云港市海州区复合肥料产品质量监督抽查实施细则</w:t>
      </w:r>
    </w:p>
    <w:p w14:paraId="496B8272">
      <w:pPr>
        <w:spacing w:line="360" w:lineRule="auto"/>
        <w:jc w:val="center"/>
        <w:rPr>
          <w:rFonts w:asciiTheme="minorEastAsia" w:hAnsiTheme="minorEastAsia"/>
          <w:sz w:val="28"/>
          <w:szCs w:val="28"/>
        </w:rPr>
      </w:pPr>
    </w:p>
    <w:p w14:paraId="3C782967">
      <w:pPr>
        <w:spacing w:line="360" w:lineRule="auto"/>
        <w:rPr>
          <w:rFonts w:asciiTheme="minorEastAsia" w:hAnsiTheme="minorEastAsia"/>
          <w:sz w:val="28"/>
          <w:szCs w:val="28"/>
        </w:rPr>
      </w:pPr>
      <w:r>
        <w:rPr>
          <w:rFonts w:hint="eastAsia" w:asciiTheme="minorEastAsia" w:hAnsiTheme="minorEastAsia"/>
          <w:sz w:val="28"/>
          <w:szCs w:val="28"/>
        </w:rPr>
        <w:t>1.范围</w:t>
      </w:r>
    </w:p>
    <w:p w14:paraId="68D93406">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本细则适用于</w:t>
      </w:r>
      <w:bookmarkStart w:id="2" w:name="_GoBack"/>
      <w:bookmarkEnd w:id="2"/>
      <w:r>
        <w:rPr>
          <w:rFonts w:hint="eastAsia" w:asciiTheme="minorEastAsia" w:hAnsiTheme="minorEastAsia"/>
          <w:sz w:val="28"/>
          <w:szCs w:val="28"/>
        </w:rPr>
        <w:t xml:space="preserve">海州区市场监督管理局组织实施的复合肥料产品质量监督抽查。 </w:t>
      </w:r>
    </w:p>
    <w:p w14:paraId="6FADC1B0">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本细则内容包括产品类别、检验依据、抽样方法、样品确认、检验项目、判定规则、检验结果确认、异议处理。</w:t>
      </w:r>
    </w:p>
    <w:p w14:paraId="77EC7246">
      <w:pPr>
        <w:spacing w:line="360" w:lineRule="auto"/>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产品类别</w:t>
      </w:r>
    </w:p>
    <w:p w14:paraId="44E8D2A7">
      <w:pPr>
        <w:spacing w:line="360" w:lineRule="auto"/>
        <w:ind w:firstLine="560" w:firstLineChars="200"/>
        <w:rPr>
          <w:rFonts w:asciiTheme="minorEastAsia" w:hAnsiTheme="minorEastAsia"/>
          <w:sz w:val="28"/>
          <w:szCs w:val="28"/>
        </w:rPr>
      </w:pPr>
      <w:r>
        <w:rPr>
          <w:rFonts w:hint="eastAsia" w:asciiTheme="minorEastAsia" w:hAnsiTheme="minorEastAsia"/>
          <w:kern w:val="0"/>
          <w:sz w:val="28"/>
          <w:szCs w:val="28"/>
        </w:rPr>
        <w:t>本细则</w:t>
      </w:r>
      <w:r>
        <w:rPr>
          <w:rFonts w:hint="eastAsia" w:asciiTheme="minorEastAsia" w:hAnsiTheme="minorEastAsia"/>
          <w:sz w:val="28"/>
          <w:szCs w:val="28"/>
        </w:rPr>
        <w:t>产品是指</w:t>
      </w:r>
      <w:r>
        <w:rPr>
          <w:rFonts w:asciiTheme="minorEastAsia" w:hAnsiTheme="minorEastAsia"/>
          <w:sz w:val="28"/>
          <w:szCs w:val="28"/>
        </w:rPr>
        <w:t>提供一种或一种以上植物</w:t>
      </w:r>
      <w:r>
        <w:rPr>
          <w:rFonts w:hint="eastAsia" w:asciiTheme="minorEastAsia" w:hAnsiTheme="minorEastAsia"/>
          <w:sz w:val="28"/>
          <w:szCs w:val="28"/>
        </w:rPr>
        <w:t>所</w:t>
      </w:r>
      <w:r>
        <w:rPr>
          <w:rFonts w:asciiTheme="minorEastAsia" w:hAnsiTheme="minorEastAsia"/>
          <w:sz w:val="28"/>
          <w:szCs w:val="28"/>
        </w:rPr>
        <w:t>需的营养元素，改善土壤性质、提高土壤肥力的一类物质</w:t>
      </w:r>
      <w:r>
        <w:rPr>
          <w:rFonts w:hint="eastAsia" w:asciiTheme="minorEastAsia" w:hAnsiTheme="minorEastAsia"/>
          <w:sz w:val="28"/>
          <w:szCs w:val="28"/>
        </w:rPr>
        <w:t>。</w:t>
      </w:r>
    </w:p>
    <w:p w14:paraId="1812B273">
      <w:pPr>
        <w:spacing w:line="360" w:lineRule="auto"/>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w:t>
      </w:r>
      <w:r>
        <w:rPr>
          <w:rFonts w:hint="eastAsia" w:asciiTheme="minorEastAsia" w:hAnsiTheme="minorEastAsia"/>
          <w:sz w:val="28"/>
          <w:szCs w:val="28"/>
        </w:rPr>
        <w:t>检验依据</w:t>
      </w:r>
      <w:r>
        <w:rPr>
          <w:rFonts w:asciiTheme="minorEastAsia" w:hAnsiTheme="minorEastAsia"/>
          <w:sz w:val="28"/>
          <w:szCs w:val="28"/>
        </w:rPr>
        <w:t xml:space="preserve"> </w:t>
      </w:r>
    </w:p>
    <w:p w14:paraId="2054AADD">
      <w:pPr>
        <w:autoSpaceDE w:val="0"/>
        <w:autoSpaceDN w:val="0"/>
        <w:adjustRightInd w:val="0"/>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GB/T 15063-20</w:t>
      </w:r>
      <w:r>
        <w:rPr>
          <w:rFonts w:asciiTheme="minorEastAsia" w:hAnsiTheme="minorEastAsia"/>
          <w:sz w:val="28"/>
          <w:szCs w:val="28"/>
        </w:rPr>
        <w:t xml:space="preserve">20 </w:t>
      </w:r>
      <w:r>
        <w:rPr>
          <w:rFonts w:hint="eastAsia" w:asciiTheme="minorEastAsia" w:hAnsiTheme="minorEastAsia"/>
          <w:sz w:val="28"/>
          <w:szCs w:val="28"/>
        </w:rPr>
        <w:t>复合肥料</w:t>
      </w:r>
    </w:p>
    <w:p w14:paraId="6B2BA5E4">
      <w:pPr>
        <w:autoSpaceDE w:val="0"/>
        <w:autoSpaceDN w:val="0"/>
        <w:adjustRightInd w:val="0"/>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GB/T 18877-20</w:t>
      </w:r>
      <w:r>
        <w:rPr>
          <w:rFonts w:asciiTheme="minorEastAsia" w:hAnsiTheme="minorEastAsia"/>
          <w:sz w:val="28"/>
          <w:szCs w:val="28"/>
        </w:rPr>
        <w:t>20</w:t>
      </w:r>
      <w:r>
        <w:rPr>
          <w:rFonts w:hint="eastAsia" w:asciiTheme="minorEastAsia" w:hAnsiTheme="minorEastAsia"/>
          <w:sz w:val="28"/>
          <w:szCs w:val="28"/>
        </w:rPr>
        <w:t xml:space="preserve"> 有机无机复混肥料</w:t>
      </w:r>
    </w:p>
    <w:p w14:paraId="732FA184">
      <w:pPr>
        <w:autoSpaceDE w:val="0"/>
        <w:autoSpaceDN w:val="0"/>
        <w:adjustRightInd w:val="0"/>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GB/T 21633-20</w:t>
      </w:r>
      <w:r>
        <w:rPr>
          <w:rFonts w:asciiTheme="minorEastAsia" w:hAnsiTheme="minorEastAsia"/>
          <w:sz w:val="28"/>
          <w:szCs w:val="28"/>
        </w:rPr>
        <w:t>20</w:t>
      </w:r>
      <w:r>
        <w:rPr>
          <w:rFonts w:hint="eastAsia" w:asciiTheme="minorEastAsia" w:hAnsiTheme="minorEastAsia"/>
          <w:sz w:val="28"/>
          <w:szCs w:val="28"/>
        </w:rPr>
        <w:t xml:space="preserve"> 掺混肥料（BB肥）</w:t>
      </w:r>
    </w:p>
    <w:p w14:paraId="578CF2D0">
      <w:pPr>
        <w:autoSpaceDE w:val="0"/>
        <w:autoSpaceDN w:val="0"/>
        <w:adjustRightInd w:val="0"/>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经公示现行有效标准及产品明示质量承诺</w:t>
      </w:r>
    </w:p>
    <w:p w14:paraId="3BA35EBA">
      <w:pPr>
        <w:spacing w:line="360" w:lineRule="auto"/>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 xml:space="preserve">. </w:t>
      </w:r>
      <w:r>
        <w:rPr>
          <w:rFonts w:hint="eastAsia" w:asciiTheme="minorEastAsia" w:hAnsiTheme="minorEastAsia"/>
          <w:sz w:val="28"/>
          <w:szCs w:val="28"/>
        </w:rPr>
        <w:t>抽样方法</w:t>
      </w:r>
    </w:p>
    <w:p w14:paraId="679DB234">
      <w:pPr>
        <w:autoSpaceDE w:val="0"/>
        <w:autoSpaceDN w:val="0"/>
        <w:adjustRightInd w:val="0"/>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以随机抽样的方式在待销产品中抽取。</w:t>
      </w:r>
    </w:p>
    <w:p w14:paraId="7BA0EC7F">
      <w:pPr>
        <w:autoSpaceDE w:val="0"/>
        <w:autoSpaceDN w:val="0"/>
        <w:adjustRightInd w:val="0"/>
        <w:spacing w:line="560" w:lineRule="exact"/>
        <w:ind w:firstLine="560" w:firstLineChars="200"/>
        <w:rPr>
          <w:rFonts w:asciiTheme="minorEastAsia" w:hAnsiTheme="minorEastAsia"/>
          <w:sz w:val="28"/>
          <w:szCs w:val="28"/>
        </w:rPr>
      </w:pPr>
      <w:bookmarkStart w:id="0" w:name="_Hlk40800877"/>
      <w:r>
        <w:rPr>
          <w:rFonts w:hint="eastAsia" w:asciiTheme="minorEastAsia" w:hAnsiTheme="minorEastAsia"/>
          <w:sz w:val="28"/>
          <w:szCs w:val="28"/>
        </w:rPr>
        <w:t>将样品缩分至</w:t>
      </w:r>
      <w:r>
        <w:rPr>
          <w:rFonts w:asciiTheme="minorEastAsia" w:hAnsiTheme="minorEastAsia"/>
          <w:sz w:val="28"/>
          <w:szCs w:val="28"/>
        </w:rPr>
        <w:t>10</w:t>
      </w:r>
      <w:bookmarkStart w:id="1" w:name="_Hlk40801232"/>
      <w:r>
        <w:rPr>
          <w:rFonts w:asciiTheme="minorEastAsia" w:hAnsiTheme="minorEastAsia"/>
          <w:sz w:val="28"/>
          <w:szCs w:val="28"/>
        </w:rPr>
        <w:t>00g</w:t>
      </w:r>
      <w:r>
        <w:rPr>
          <w:rFonts w:hint="eastAsia" w:asciiTheme="minorEastAsia" w:hAnsiTheme="minorEastAsia"/>
          <w:sz w:val="28"/>
          <w:szCs w:val="28"/>
        </w:rPr>
        <w:t>左右</w:t>
      </w:r>
      <w:bookmarkEnd w:id="1"/>
      <w:r>
        <w:rPr>
          <w:rFonts w:hint="eastAsia" w:asciiTheme="minorEastAsia" w:hAnsiTheme="minorEastAsia"/>
          <w:sz w:val="28"/>
          <w:szCs w:val="28"/>
        </w:rPr>
        <w:t>，分装在</w:t>
      </w:r>
      <w:r>
        <w:rPr>
          <w:rFonts w:asciiTheme="minorEastAsia" w:hAnsiTheme="minorEastAsia"/>
          <w:sz w:val="28"/>
          <w:szCs w:val="28"/>
        </w:rPr>
        <w:t>2</w:t>
      </w:r>
      <w:r>
        <w:rPr>
          <w:rFonts w:hint="eastAsia" w:asciiTheme="minorEastAsia" w:hAnsiTheme="minorEastAsia"/>
          <w:sz w:val="28"/>
          <w:szCs w:val="28"/>
        </w:rPr>
        <w:t>个塑料瓶中，每瓶5</w:t>
      </w:r>
      <w:r>
        <w:rPr>
          <w:rFonts w:asciiTheme="minorEastAsia" w:hAnsiTheme="minorEastAsia"/>
          <w:sz w:val="28"/>
          <w:szCs w:val="28"/>
        </w:rPr>
        <w:t>00g</w:t>
      </w:r>
      <w:r>
        <w:rPr>
          <w:rFonts w:hint="eastAsia" w:asciiTheme="minorEastAsia" w:hAnsiTheme="minorEastAsia"/>
          <w:sz w:val="28"/>
          <w:szCs w:val="28"/>
        </w:rPr>
        <w:t>左右。</w:t>
      </w:r>
      <w:r>
        <w:rPr>
          <w:rFonts w:asciiTheme="minorEastAsia" w:hAnsiTheme="minorEastAsia"/>
          <w:sz w:val="28"/>
          <w:szCs w:val="28"/>
        </w:rPr>
        <w:t>1</w:t>
      </w:r>
      <w:r>
        <w:rPr>
          <w:rFonts w:hint="eastAsia" w:asciiTheme="minorEastAsia" w:hAnsiTheme="minorEastAsia"/>
          <w:sz w:val="28"/>
          <w:szCs w:val="28"/>
        </w:rPr>
        <w:t>瓶作为检验样品，另</w:t>
      </w:r>
      <w:r>
        <w:rPr>
          <w:rFonts w:asciiTheme="minorEastAsia" w:hAnsiTheme="minorEastAsia"/>
          <w:sz w:val="28"/>
          <w:szCs w:val="28"/>
        </w:rPr>
        <w:t>1</w:t>
      </w:r>
      <w:r>
        <w:rPr>
          <w:rFonts w:hint="eastAsia" w:asciiTheme="minorEastAsia" w:hAnsiTheme="minorEastAsia"/>
          <w:sz w:val="28"/>
          <w:szCs w:val="28"/>
        </w:rPr>
        <w:t>瓶作为备用样品。</w:t>
      </w:r>
      <w:bookmarkEnd w:id="0"/>
    </w:p>
    <w:p w14:paraId="367E3DF2">
      <w:pPr>
        <w:spacing w:line="360" w:lineRule="auto"/>
        <w:rPr>
          <w:rFonts w:asciiTheme="minorEastAsia" w:hAnsiTheme="minorEastAsia"/>
          <w:sz w:val="28"/>
          <w:szCs w:val="28"/>
        </w:rPr>
      </w:pPr>
      <w:r>
        <w:rPr>
          <w:rFonts w:hint="eastAsia" w:asciiTheme="minorEastAsia" w:hAnsiTheme="minorEastAsia"/>
          <w:sz w:val="28"/>
          <w:szCs w:val="28"/>
        </w:rPr>
        <w:t>5.样品确认</w:t>
      </w:r>
    </w:p>
    <w:p w14:paraId="241B4CE6">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在实体店抽取样品后，承检机构应当通过邮政特快专递，将样品确认文书送达样品标注的生产企业进行样品确认。</w:t>
      </w:r>
    </w:p>
    <w:p w14:paraId="4661E12E">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生产企业应当在签收样品确认文书之日起7日内，通过传真、挂号信、特快专递等方式向承检机构反馈样品确认结果的书面材料。</w:t>
      </w:r>
      <w:r>
        <w:rPr>
          <w:rFonts w:hint="eastAsia" w:cs="宋体" w:asciiTheme="minorEastAsia" w:hAnsiTheme="minorEastAsia"/>
          <w:snapToGrid w:val="0"/>
          <w:spacing w:val="2"/>
          <w:sz w:val="28"/>
          <w:szCs w:val="28"/>
        </w:rPr>
        <w:t>逾期未书面反馈或者拒绝签收</w:t>
      </w:r>
      <w:r>
        <w:rPr>
          <w:rFonts w:hint="eastAsia" w:asciiTheme="minorEastAsia" w:hAnsiTheme="minorEastAsia"/>
          <w:sz w:val="28"/>
          <w:szCs w:val="28"/>
        </w:rPr>
        <w:t>的，视同认可样品为生产企业产品。</w:t>
      </w:r>
    </w:p>
    <w:p w14:paraId="34088272">
      <w:pPr>
        <w:spacing w:line="360" w:lineRule="auto"/>
        <w:rPr>
          <w:rFonts w:asciiTheme="minorEastAsia" w:hAnsiTheme="minorEastAsia"/>
          <w:sz w:val="28"/>
          <w:szCs w:val="28"/>
        </w:rPr>
      </w:pPr>
      <w:r>
        <w:rPr>
          <w:rFonts w:asciiTheme="minorEastAsia" w:hAnsiTheme="minorEastAsia"/>
          <w:sz w:val="28"/>
          <w:szCs w:val="28"/>
        </w:rPr>
        <w:t xml:space="preserve">6. </w:t>
      </w:r>
      <w:r>
        <w:rPr>
          <w:rFonts w:hint="eastAsia" w:asciiTheme="minorEastAsia" w:hAnsiTheme="minorEastAsia"/>
          <w:sz w:val="28"/>
          <w:szCs w:val="28"/>
        </w:rPr>
        <w:t>检验项目</w:t>
      </w:r>
    </w:p>
    <w:p w14:paraId="3586CB3D">
      <w:pPr>
        <w:pStyle w:val="16"/>
        <w:spacing w:line="240" w:lineRule="auto"/>
        <w:ind w:firstLine="561" w:firstLineChars="0"/>
        <w:jc w:val="center"/>
        <w:rPr>
          <w:rFonts w:asciiTheme="minorEastAsia" w:hAnsiTheme="minorEastAsia" w:eastAsiaTheme="minorEastAsia"/>
          <w:snapToGrid/>
          <w:spacing w:val="0"/>
          <w:kern w:val="2"/>
          <w:sz w:val="21"/>
          <w:szCs w:val="21"/>
        </w:rPr>
      </w:pPr>
      <w:r>
        <w:rPr>
          <w:rFonts w:hint="eastAsia" w:asciiTheme="minorEastAsia" w:hAnsiTheme="minorEastAsia" w:eastAsiaTheme="minorEastAsia"/>
          <w:snapToGrid/>
          <w:spacing w:val="0"/>
          <w:kern w:val="2"/>
          <w:sz w:val="21"/>
          <w:szCs w:val="21"/>
        </w:rPr>
        <w:t>表</w:t>
      </w:r>
      <w:r>
        <w:rPr>
          <w:rFonts w:asciiTheme="minorEastAsia" w:hAnsiTheme="minorEastAsia" w:eastAsiaTheme="minorEastAsia"/>
          <w:snapToGrid/>
          <w:spacing w:val="0"/>
          <w:kern w:val="2"/>
          <w:sz w:val="21"/>
          <w:szCs w:val="21"/>
        </w:rPr>
        <w:t>1</w:t>
      </w:r>
      <w:r>
        <w:rPr>
          <w:rFonts w:hint="eastAsia" w:asciiTheme="minorEastAsia" w:hAnsiTheme="minorEastAsia" w:eastAsiaTheme="minorEastAsia"/>
          <w:snapToGrid/>
          <w:spacing w:val="0"/>
          <w:kern w:val="2"/>
          <w:sz w:val="21"/>
          <w:szCs w:val="21"/>
        </w:rPr>
        <w:t>肥料产品检验项目</w:t>
      </w:r>
    </w:p>
    <w:p w14:paraId="76016DA9">
      <w:pPr>
        <w:pStyle w:val="16"/>
        <w:spacing w:line="240" w:lineRule="auto"/>
        <w:ind w:firstLine="561" w:firstLineChars="0"/>
        <w:jc w:val="center"/>
        <w:rPr>
          <w:rFonts w:asciiTheme="minorEastAsia" w:hAnsiTheme="minorEastAsia" w:eastAsiaTheme="minorEastAsia"/>
          <w:snapToGrid/>
          <w:spacing w:val="0"/>
          <w:kern w:val="2"/>
          <w:sz w:val="21"/>
          <w:szCs w:val="21"/>
        </w:rPr>
      </w:pPr>
    </w:p>
    <w:tbl>
      <w:tblPr>
        <w:tblStyle w:val="9"/>
        <w:tblW w:w="8595" w:type="dxa"/>
        <w:jc w:val="center"/>
        <w:tblLayout w:type="fixed"/>
        <w:tblCellMar>
          <w:top w:w="0" w:type="dxa"/>
          <w:left w:w="108" w:type="dxa"/>
          <w:bottom w:w="0" w:type="dxa"/>
          <w:right w:w="108" w:type="dxa"/>
        </w:tblCellMar>
      </w:tblPr>
      <w:tblGrid>
        <w:gridCol w:w="562"/>
        <w:gridCol w:w="1944"/>
        <w:gridCol w:w="1558"/>
        <w:gridCol w:w="4531"/>
      </w:tblGrid>
      <w:tr w14:paraId="4C4BFA27">
        <w:tblPrEx>
          <w:tblCellMar>
            <w:top w:w="0" w:type="dxa"/>
            <w:left w:w="108" w:type="dxa"/>
            <w:bottom w:w="0" w:type="dxa"/>
            <w:right w:w="108" w:type="dxa"/>
          </w:tblCellMar>
        </w:tblPrEx>
        <w:trPr>
          <w:trHeight w:val="680" w:hRule="atLeast"/>
          <w:tblHeader/>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9F9926A">
            <w:pPr>
              <w:widowControl/>
              <w:adjustRightInd w:val="0"/>
              <w:snapToGrid w:val="0"/>
              <w:jc w:val="center"/>
              <w:textAlignment w:val="center"/>
              <w:rPr>
                <w:rFonts w:cs="宋体" w:asciiTheme="minorEastAsia" w:hAnsiTheme="minorEastAsia"/>
                <w:szCs w:val="21"/>
              </w:rPr>
            </w:pPr>
            <w:r>
              <w:rPr>
                <w:rFonts w:hint="eastAsia" w:cs="宋体" w:asciiTheme="minorEastAsia" w:hAnsiTheme="minorEastAsia"/>
                <w:kern w:val="0"/>
                <w:szCs w:val="21"/>
                <w:lang w:bidi="ar"/>
              </w:rPr>
              <w:t>序号</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672E2D1">
            <w:pPr>
              <w:widowControl/>
              <w:adjustRightInd w:val="0"/>
              <w:snapToGrid w:val="0"/>
              <w:jc w:val="center"/>
              <w:textAlignment w:val="center"/>
              <w:rPr>
                <w:rFonts w:cs="宋体" w:asciiTheme="minorEastAsia" w:hAnsiTheme="minorEastAsia"/>
                <w:szCs w:val="21"/>
              </w:rPr>
            </w:pPr>
            <w:r>
              <w:rPr>
                <w:rFonts w:hint="eastAsia" w:cs="宋体" w:asciiTheme="minorEastAsia" w:hAnsiTheme="minorEastAsia"/>
                <w:kern w:val="0"/>
                <w:szCs w:val="21"/>
                <w:lang w:bidi="ar"/>
              </w:rPr>
              <w:t>肥料名称</w:t>
            </w:r>
          </w:p>
        </w:tc>
        <w:tc>
          <w:tcPr>
            <w:tcW w:w="15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07464F0">
            <w:pPr>
              <w:widowControl/>
              <w:adjustRightInd w:val="0"/>
              <w:snapToGrid w:val="0"/>
              <w:jc w:val="center"/>
              <w:textAlignment w:val="center"/>
              <w:rPr>
                <w:rFonts w:cs="宋体" w:asciiTheme="minorEastAsia" w:hAnsiTheme="minorEastAsia"/>
                <w:szCs w:val="21"/>
              </w:rPr>
            </w:pPr>
            <w:r>
              <w:rPr>
                <w:rFonts w:hint="eastAsia" w:cs="宋体" w:asciiTheme="minorEastAsia" w:hAnsiTheme="minorEastAsia"/>
                <w:kern w:val="0"/>
                <w:szCs w:val="21"/>
                <w:lang w:bidi="ar"/>
              </w:rPr>
              <w:t>检验标准</w:t>
            </w:r>
          </w:p>
        </w:tc>
        <w:tc>
          <w:tcPr>
            <w:tcW w:w="45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C510C26">
            <w:pPr>
              <w:widowControl/>
              <w:adjustRightInd w:val="0"/>
              <w:snapToGrid w:val="0"/>
              <w:jc w:val="center"/>
              <w:textAlignment w:val="center"/>
              <w:rPr>
                <w:rFonts w:cs="宋体" w:asciiTheme="minorEastAsia" w:hAnsiTheme="minorEastAsia"/>
                <w:szCs w:val="21"/>
              </w:rPr>
            </w:pPr>
            <w:r>
              <w:rPr>
                <w:rFonts w:hint="eastAsia" w:cs="宋体" w:asciiTheme="minorEastAsia" w:hAnsiTheme="minorEastAsia"/>
                <w:kern w:val="0"/>
                <w:szCs w:val="21"/>
                <w:lang w:bidi="ar"/>
              </w:rPr>
              <w:t>检测项目</w:t>
            </w:r>
          </w:p>
        </w:tc>
      </w:tr>
      <w:tr w14:paraId="7CD0D162">
        <w:tblPrEx>
          <w:tblCellMar>
            <w:top w:w="0" w:type="dxa"/>
            <w:left w:w="108" w:type="dxa"/>
            <w:bottom w:w="0" w:type="dxa"/>
            <w:right w:w="108" w:type="dxa"/>
          </w:tblCellMar>
        </w:tblPrEx>
        <w:trPr>
          <w:trHeight w:val="680"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9C876D3">
            <w:pPr>
              <w:widowControl/>
              <w:adjustRightInd w:val="0"/>
              <w:snapToGrid w:val="0"/>
              <w:ind w:firstLine="210" w:firstLineChars="100"/>
              <w:textAlignment w:val="center"/>
              <w:rPr>
                <w:rFonts w:cs="宋体" w:asciiTheme="minorEastAsia" w:hAnsiTheme="minorEastAsia"/>
                <w:kern w:val="0"/>
                <w:szCs w:val="21"/>
                <w:lang w:bidi="ar"/>
              </w:rPr>
            </w:pPr>
            <w:r>
              <w:rPr>
                <w:rFonts w:hint="eastAsia" w:cs="宋体" w:asciiTheme="minorEastAsia" w:hAnsiTheme="minorEastAsia"/>
                <w:kern w:val="0"/>
                <w:szCs w:val="21"/>
                <w:lang w:bidi="ar"/>
              </w:rPr>
              <w:t>1</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A832929">
            <w:pPr>
              <w:widowControl/>
              <w:adjustRightInd w:val="0"/>
              <w:snapToGrid w:val="0"/>
              <w:jc w:val="center"/>
              <w:textAlignment w:val="center"/>
              <w:rPr>
                <w:rFonts w:cs="宋体" w:asciiTheme="minorEastAsia" w:hAnsiTheme="minorEastAsia"/>
                <w:szCs w:val="21"/>
              </w:rPr>
            </w:pPr>
            <w:r>
              <w:rPr>
                <w:rFonts w:hint="eastAsia" w:cs="宋体" w:asciiTheme="minorEastAsia" w:hAnsiTheme="minorEastAsia"/>
                <w:szCs w:val="21"/>
              </w:rPr>
              <w:t>复混肥料</w:t>
            </w:r>
          </w:p>
        </w:tc>
        <w:tc>
          <w:tcPr>
            <w:tcW w:w="15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4CEDFB0">
            <w:pPr>
              <w:widowControl/>
              <w:adjustRightInd w:val="0"/>
              <w:snapToGrid w:val="0"/>
              <w:jc w:val="center"/>
              <w:textAlignment w:val="center"/>
              <w:rPr>
                <w:rFonts w:cs="宋体" w:asciiTheme="minorEastAsia" w:hAnsiTheme="minorEastAsia"/>
                <w:szCs w:val="21"/>
              </w:rPr>
            </w:pPr>
            <w:r>
              <w:rPr>
                <w:rFonts w:hint="eastAsia" w:cs="宋体" w:asciiTheme="minorEastAsia" w:hAnsiTheme="minorEastAsia"/>
                <w:szCs w:val="21"/>
              </w:rPr>
              <w:t>GB/T 15063-2020</w:t>
            </w:r>
          </w:p>
        </w:tc>
        <w:tc>
          <w:tcPr>
            <w:tcW w:w="45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F683BF4">
            <w:pPr>
              <w:widowControl/>
              <w:adjustRightInd w:val="0"/>
              <w:snapToGrid w:val="0"/>
              <w:textAlignment w:val="center"/>
              <w:rPr>
                <w:rFonts w:cs="宋体" w:asciiTheme="minorEastAsia" w:hAnsiTheme="minorEastAsia"/>
                <w:szCs w:val="21"/>
              </w:rPr>
            </w:pPr>
            <w:r>
              <w:rPr>
                <w:rFonts w:hint="eastAsia" w:cs="宋体" w:asciiTheme="minorEastAsia" w:hAnsiTheme="minorEastAsia"/>
                <w:szCs w:val="21"/>
              </w:rPr>
              <w:t>总养分、总氮（N）、有效磷（P</w:t>
            </w:r>
            <w:r>
              <w:rPr>
                <w:rFonts w:hint="eastAsia" w:cs="宋体" w:asciiTheme="minorEastAsia" w:hAnsiTheme="minorEastAsia"/>
                <w:szCs w:val="21"/>
                <w:vertAlign w:val="subscript"/>
              </w:rPr>
              <w:t>2</w:t>
            </w:r>
            <w:r>
              <w:rPr>
                <w:rFonts w:hint="eastAsia" w:cs="宋体" w:asciiTheme="minorEastAsia" w:hAnsiTheme="minorEastAsia"/>
                <w:szCs w:val="21"/>
              </w:rPr>
              <w:t>O</w:t>
            </w:r>
            <w:r>
              <w:rPr>
                <w:rFonts w:hint="eastAsia" w:cs="宋体" w:asciiTheme="minorEastAsia" w:hAnsiTheme="minorEastAsia"/>
                <w:szCs w:val="21"/>
                <w:vertAlign w:val="subscript"/>
              </w:rPr>
              <w:t>5</w:t>
            </w:r>
            <w:r>
              <w:rPr>
                <w:rFonts w:hint="eastAsia" w:cs="宋体" w:asciiTheme="minorEastAsia" w:hAnsiTheme="minorEastAsia"/>
                <w:szCs w:val="21"/>
              </w:rPr>
              <w:t>）、钾（K</w:t>
            </w:r>
            <w:r>
              <w:rPr>
                <w:rFonts w:hint="eastAsia" w:cs="宋体" w:asciiTheme="minorEastAsia" w:hAnsiTheme="minorEastAsia"/>
                <w:szCs w:val="21"/>
                <w:vertAlign w:val="subscript"/>
              </w:rPr>
              <w:t>2</w:t>
            </w:r>
            <w:r>
              <w:rPr>
                <w:rFonts w:hint="eastAsia" w:cs="宋体" w:asciiTheme="minorEastAsia" w:hAnsiTheme="minorEastAsia"/>
                <w:szCs w:val="21"/>
              </w:rPr>
              <w:t>O）、水溶性磷占有效磷百分率、氯离子、水分、粒度、缩二脲</w:t>
            </w:r>
          </w:p>
        </w:tc>
      </w:tr>
      <w:tr w14:paraId="40C07047">
        <w:tblPrEx>
          <w:tblCellMar>
            <w:top w:w="0" w:type="dxa"/>
            <w:left w:w="108" w:type="dxa"/>
            <w:bottom w:w="0" w:type="dxa"/>
            <w:right w:w="108" w:type="dxa"/>
          </w:tblCellMar>
        </w:tblPrEx>
        <w:trPr>
          <w:trHeight w:val="680"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1FDA352">
            <w:pPr>
              <w:widowControl/>
              <w:adjustRightInd w:val="0"/>
              <w:snapToGrid w:val="0"/>
              <w:ind w:firstLine="174" w:firstLineChars="83"/>
              <w:textAlignment w:val="center"/>
              <w:rPr>
                <w:rFonts w:cs="宋体" w:asciiTheme="minorEastAsia" w:hAnsiTheme="minorEastAsia"/>
                <w:szCs w:val="21"/>
              </w:rPr>
            </w:pPr>
            <w:r>
              <w:rPr>
                <w:rFonts w:hint="eastAsia" w:cs="宋体" w:asciiTheme="minorEastAsia" w:hAnsiTheme="minorEastAsia"/>
                <w:szCs w:val="21"/>
              </w:rPr>
              <w:t>2</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A6F7168">
            <w:pPr>
              <w:widowControl/>
              <w:adjustRightInd w:val="0"/>
              <w:snapToGrid w:val="0"/>
              <w:jc w:val="center"/>
              <w:textAlignment w:val="center"/>
              <w:rPr>
                <w:rFonts w:cs="宋体" w:asciiTheme="minorEastAsia" w:hAnsiTheme="minorEastAsia"/>
                <w:szCs w:val="21"/>
              </w:rPr>
            </w:pPr>
            <w:r>
              <w:rPr>
                <w:rFonts w:hint="eastAsia" w:cs="宋体" w:asciiTheme="minorEastAsia" w:hAnsiTheme="minorEastAsia"/>
                <w:szCs w:val="21"/>
              </w:rPr>
              <w:t>掺混肥料</w:t>
            </w:r>
          </w:p>
        </w:tc>
        <w:tc>
          <w:tcPr>
            <w:tcW w:w="15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05E7CEC">
            <w:pPr>
              <w:widowControl/>
              <w:adjustRightInd w:val="0"/>
              <w:snapToGrid w:val="0"/>
              <w:jc w:val="center"/>
              <w:textAlignment w:val="center"/>
              <w:rPr>
                <w:rFonts w:cs="宋体" w:asciiTheme="minorEastAsia" w:hAnsiTheme="minorEastAsia"/>
                <w:szCs w:val="21"/>
              </w:rPr>
            </w:pPr>
            <w:r>
              <w:rPr>
                <w:rFonts w:hint="eastAsia" w:cs="宋体" w:asciiTheme="minorEastAsia" w:hAnsiTheme="minorEastAsia"/>
                <w:szCs w:val="21"/>
              </w:rPr>
              <w:t>GB/T 21633-2020</w:t>
            </w:r>
          </w:p>
        </w:tc>
        <w:tc>
          <w:tcPr>
            <w:tcW w:w="45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3EB30EB">
            <w:pPr>
              <w:widowControl/>
              <w:adjustRightInd w:val="0"/>
              <w:snapToGrid w:val="0"/>
              <w:textAlignment w:val="center"/>
              <w:rPr>
                <w:rFonts w:cs="宋体" w:asciiTheme="minorEastAsia" w:hAnsiTheme="minorEastAsia"/>
                <w:szCs w:val="21"/>
              </w:rPr>
            </w:pPr>
            <w:r>
              <w:rPr>
                <w:rFonts w:hint="eastAsia" w:cs="宋体" w:asciiTheme="minorEastAsia" w:hAnsiTheme="minorEastAsia"/>
                <w:szCs w:val="21"/>
              </w:rPr>
              <w:t>总养分、总氮（N）、有效磷（P2O5）、钾（K2O）、水溶性磷占有效磷百分率、氯离子、水分、粒度、缩二脲</w:t>
            </w:r>
          </w:p>
        </w:tc>
      </w:tr>
      <w:tr w14:paraId="4CE42B24">
        <w:tblPrEx>
          <w:tblCellMar>
            <w:top w:w="0" w:type="dxa"/>
            <w:left w:w="108" w:type="dxa"/>
            <w:bottom w:w="0" w:type="dxa"/>
            <w:right w:w="108" w:type="dxa"/>
          </w:tblCellMar>
        </w:tblPrEx>
        <w:trPr>
          <w:trHeight w:val="680"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1A02385">
            <w:pPr>
              <w:widowControl/>
              <w:adjustRightInd w:val="0"/>
              <w:snapToGrid w:val="0"/>
              <w:ind w:firstLine="210" w:firstLineChars="100"/>
              <w:textAlignment w:val="center"/>
              <w:rPr>
                <w:rFonts w:cs="宋体" w:asciiTheme="minorEastAsia" w:hAnsiTheme="minorEastAsia"/>
                <w:kern w:val="0"/>
                <w:szCs w:val="21"/>
                <w:lang w:bidi="ar"/>
              </w:rPr>
            </w:pPr>
            <w:r>
              <w:rPr>
                <w:rFonts w:hint="eastAsia" w:cs="宋体" w:asciiTheme="minorEastAsia" w:hAnsiTheme="minorEastAsia"/>
                <w:kern w:val="0"/>
                <w:szCs w:val="21"/>
                <w:lang w:bidi="ar"/>
              </w:rPr>
              <w:t>3</w:t>
            </w:r>
          </w:p>
        </w:tc>
        <w:tc>
          <w:tcPr>
            <w:tcW w:w="194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77F62FB">
            <w:pPr>
              <w:widowControl/>
              <w:adjustRightInd w:val="0"/>
              <w:snapToGrid w:val="0"/>
              <w:jc w:val="center"/>
              <w:textAlignment w:val="center"/>
              <w:rPr>
                <w:rFonts w:cs="宋体" w:asciiTheme="minorEastAsia" w:hAnsiTheme="minorEastAsia"/>
                <w:szCs w:val="21"/>
              </w:rPr>
            </w:pPr>
            <w:r>
              <w:rPr>
                <w:rFonts w:hint="eastAsia" w:cs="宋体" w:asciiTheme="minorEastAsia" w:hAnsiTheme="minorEastAsia"/>
                <w:szCs w:val="21"/>
              </w:rPr>
              <w:t>有机无机复混肥料</w:t>
            </w:r>
          </w:p>
        </w:tc>
        <w:tc>
          <w:tcPr>
            <w:tcW w:w="155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D0523D5">
            <w:pPr>
              <w:widowControl/>
              <w:adjustRightInd w:val="0"/>
              <w:snapToGrid w:val="0"/>
              <w:jc w:val="center"/>
              <w:textAlignment w:val="center"/>
              <w:rPr>
                <w:rFonts w:cs="宋体" w:asciiTheme="minorEastAsia" w:hAnsiTheme="minorEastAsia"/>
                <w:szCs w:val="21"/>
              </w:rPr>
            </w:pPr>
            <w:r>
              <w:rPr>
                <w:rFonts w:hint="eastAsia" w:cs="宋体" w:asciiTheme="minorEastAsia" w:hAnsiTheme="minorEastAsia"/>
                <w:szCs w:val="21"/>
              </w:rPr>
              <w:t>GB/T 18877-2020</w:t>
            </w:r>
          </w:p>
        </w:tc>
        <w:tc>
          <w:tcPr>
            <w:tcW w:w="45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93C6463">
            <w:pPr>
              <w:widowControl/>
              <w:adjustRightInd w:val="0"/>
              <w:snapToGrid w:val="0"/>
              <w:textAlignment w:val="center"/>
              <w:rPr>
                <w:rFonts w:cs="宋体" w:asciiTheme="minorEastAsia" w:hAnsiTheme="minorEastAsia"/>
                <w:szCs w:val="21"/>
              </w:rPr>
            </w:pPr>
            <w:r>
              <w:rPr>
                <w:rFonts w:hint="eastAsia" w:cs="宋体" w:asciiTheme="minorEastAsia" w:hAnsiTheme="minorEastAsia"/>
                <w:szCs w:val="21"/>
              </w:rPr>
              <w:t>总养分、总氮（N）、总有效五氧化二磷（P</w:t>
            </w:r>
            <w:r>
              <w:rPr>
                <w:rFonts w:hint="eastAsia" w:cs="宋体" w:asciiTheme="minorEastAsia" w:hAnsiTheme="minorEastAsia"/>
                <w:szCs w:val="21"/>
                <w:vertAlign w:val="subscript"/>
              </w:rPr>
              <w:t>2</w:t>
            </w:r>
            <w:r>
              <w:rPr>
                <w:rFonts w:hint="eastAsia" w:cs="宋体" w:asciiTheme="minorEastAsia" w:hAnsiTheme="minorEastAsia"/>
                <w:szCs w:val="21"/>
              </w:rPr>
              <w:t>O</w:t>
            </w:r>
            <w:r>
              <w:rPr>
                <w:rFonts w:hint="eastAsia" w:cs="宋体" w:asciiTheme="minorEastAsia" w:hAnsiTheme="minorEastAsia"/>
                <w:szCs w:val="21"/>
                <w:vertAlign w:val="subscript"/>
              </w:rPr>
              <w:t>5</w:t>
            </w:r>
            <w:r>
              <w:rPr>
                <w:rFonts w:hint="eastAsia" w:cs="宋体" w:asciiTheme="minorEastAsia" w:hAnsiTheme="minorEastAsia"/>
                <w:szCs w:val="21"/>
              </w:rPr>
              <w:t>）、总氧化钾（K</w:t>
            </w:r>
            <w:r>
              <w:rPr>
                <w:rFonts w:hint="eastAsia" w:cs="宋体" w:asciiTheme="minorEastAsia" w:hAnsiTheme="minorEastAsia"/>
                <w:szCs w:val="21"/>
                <w:vertAlign w:val="subscript"/>
              </w:rPr>
              <w:t>2</w:t>
            </w:r>
            <w:r>
              <w:rPr>
                <w:rFonts w:hint="eastAsia" w:cs="宋体" w:asciiTheme="minorEastAsia" w:hAnsiTheme="minorEastAsia"/>
                <w:szCs w:val="21"/>
              </w:rPr>
              <w:t>O）、水溶性磷占有效磷百分率、水分、粒度、氯离子，缩二脲</w:t>
            </w:r>
          </w:p>
        </w:tc>
      </w:tr>
    </w:tbl>
    <w:p w14:paraId="213CADBB">
      <w:pPr>
        <w:pStyle w:val="16"/>
        <w:spacing w:line="240" w:lineRule="auto"/>
        <w:ind w:firstLine="0" w:firstLineChars="0"/>
        <w:rPr>
          <w:rFonts w:asciiTheme="minorEastAsia" w:hAnsiTheme="minorEastAsia" w:eastAsiaTheme="minorEastAsia"/>
          <w:snapToGrid/>
          <w:spacing w:val="0"/>
          <w:kern w:val="2"/>
          <w:sz w:val="21"/>
          <w:szCs w:val="21"/>
        </w:rPr>
      </w:pPr>
    </w:p>
    <w:p w14:paraId="5090EFB3">
      <w:pPr>
        <w:spacing w:line="360" w:lineRule="auto"/>
        <w:rPr>
          <w:rFonts w:asciiTheme="minorEastAsia" w:hAnsiTheme="minorEastAsia"/>
          <w:sz w:val="28"/>
          <w:szCs w:val="28"/>
        </w:rPr>
      </w:pPr>
      <w:r>
        <w:rPr>
          <w:rFonts w:asciiTheme="minorEastAsia" w:hAnsiTheme="minorEastAsia"/>
          <w:sz w:val="28"/>
          <w:szCs w:val="28"/>
        </w:rPr>
        <w:t xml:space="preserve">7. </w:t>
      </w:r>
      <w:r>
        <w:rPr>
          <w:rFonts w:hint="eastAsia" w:asciiTheme="minorEastAsia" w:hAnsiTheme="minorEastAsia"/>
          <w:sz w:val="28"/>
          <w:szCs w:val="28"/>
        </w:rPr>
        <w:t>判定规则</w:t>
      </w:r>
    </w:p>
    <w:p w14:paraId="63F8074E">
      <w:pPr>
        <w:ind w:firstLine="560" w:firstLineChars="200"/>
        <w:rPr>
          <w:rFonts w:cs="宋体" w:asciiTheme="minorEastAsia" w:hAnsiTheme="minorEastAsia"/>
          <w:sz w:val="28"/>
          <w:szCs w:val="28"/>
        </w:rPr>
      </w:pPr>
      <w:r>
        <w:rPr>
          <w:rFonts w:hint="eastAsia" w:cs="宋体" w:asciiTheme="minorEastAsia" w:hAnsiTheme="minorEastAsia"/>
          <w:sz w:val="28"/>
          <w:szCs w:val="28"/>
        </w:rPr>
        <w:t>经检验，检验项目全部合格，判定为被抽查产品所检项目未发现不合格；检验项目中任一项或一项以上不合格，判定为被抽查产品不合格。</w:t>
      </w:r>
    </w:p>
    <w:p w14:paraId="3D3D27AF">
      <w:pPr>
        <w:ind w:firstLine="560" w:firstLineChars="200"/>
        <w:rPr>
          <w:rFonts w:cs="宋体" w:asciiTheme="minorEastAsia" w:hAnsiTheme="minorEastAsia"/>
          <w:sz w:val="28"/>
          <w:szCs w:val="28"/>
        </w:rPr>
      </w:pPr>
      <w:r>
        <w:rPr>
          <w:rFonts w:hint="eastAsia" w:cs="宋体" w:asciiTheme="minorEastAsia" w:hAnsiTheme="minorEastAsia"/>
          <w:sz w:val="28"/>
          <w:szCs w:val="28"/>
        </w:rPr>
        <w:t>若被检产品明示的质量要求高于本细则中检验项目依据的标准要求时，应按被检产品明示的质量要求判定。</w:t>
      </w:r>
    </w:p>
    <w:p w14:paraId="6E283113">
      <w:pPr>
        <w:ind w:firstLine="560" w:firstLineChars="200"/>
        <w:rPr>
          <w:rFonts w:cs="宋体" w:asciiTheme="minorEastAsia" w:hAnsiTheme="minorEastAsia"/>
          <w:sz w:val="28"/>
          <w:szCs w:val="28"/>
        </w:rPr>
      </w:pPr>
      <w:r>
        <w:rPr>
          <w:rFonts w:hint="eastAsia" w:cs="宋体" w:asciiTheme="minorEastAsia" w:hAnsiTheme="minorEastAsia"/>
          <w:sz w:val="28"/>
          <w:szCs w:val="28"/>
        </w:rPr>
        <w:t>若被检产品明示的质量要求低于本细则中检验项目依据的强制性标准要求时，应按照强制性标准要求判定。</w:t>
      </w:r>
    </w:p>
    <w:p w14:paraId="64362C94">
      <w:pPr>
        <w:ind w:firstLine="560" w:firstLineChars="200"/>
        <w:rPr>
          <w:rFonts w:cs="宋体" w:asciiTheme="minorEastAsia" w:hAnsiTheme="minorEastAsia"/>
          <w:sz w:val="28"/>
          <w:szCs w:val="28"/>
        </w:rPr>
      </w:pPr>
      <w:r>
        <w:rPr>
          <w:rFonts w:hint="eastAsia" w:cs="宋体" w:asciiTheme="minorEastAsia" w:hAnsiTheme="minorEastAsia"/>
          <w:sz w:val="28"/>
          <w:szCs w:val="28"/>
        </w:rPr>
        <w:t>若被检产品明示的质量要求缺少本细则中检验项目依据的强制性标准要求时，应按照强制性标准要求判定。</w:t>
      </w:r>
    </w:p>
    <w:p w14:paraId="35945945">
      <w:pPr>
        <w:rPr>
          <w:rFonts w:cs="宋体" w:asciiTheme="minorEastAsia" w:hAnsiTheme="minorEastAsia"/>
          <w:sz w:val="28"/>
          <w:szCs w:val="28"/>
        </w:rPr>
      </w:pPr>
      <w:r>
        <w:rPr>
          <w:rFonts w:cs="宋体" w:asciiTheme="minorEastAsia" w:hAnsiTheme="minorEastAsia"/>
          <w:sz w:val="28"/>
          <w:szCs w:val="28"/>
        </w:rPr>
        <w:t>8</w:t>
      </w:r>
      <w:r>
        <w:rPr>
          <w:rFonts w:hint="eastAsia" w:cs="宋体" w:asciiTheme="minorEastAsia" w:hAnsiTheme="minorEastAsia"/>
          <w:sz w:val="28"/>
          <w:szCs w:val="28"/>
        </w:rPr>
        <w:t>.检验结果确认</w:t>
      </w:r>
    </w:p>
    <w:p w14:paraId="1731781F">
      <w:pPr>
        <w:ind w:firstLine="560" w:firstLineChars="200"/>
        <w:rPr>
          <w:rFonts w:cs="宋体" w:asciiTheme="minorEastAsia" w:hAnsiTheme="minorEastAsia"/>
          <w:sz w:val="28"/>
          <w:szCs w:val="28"/>
        </w:rPr>
      </w:pPr>
      <w:r>
        <w:rPr>
          <w:rFonts w:hint="eastAsia" w:cs="宋体" w:asciiTheme="minorEastAsia" w:hAnsiTheme="minorEastAsia"/>
          <w:sz w:val="28"/>
          <w:szCs w:val="28"/>
        </w:rPr>
        <w:t>承检机构应当在检验工作结束后将检验结果报送市场监管部门，协助其将《产品质量监督抽查结果通知单》寄送受检企业。</w:t>
      </w:r>
    </w:p>
    <w:p w14:paraId="5FD9FEBF">
      <w:pPr>
        <w:ind w:firstLine="560" w:firstLineChars="200"/>
        <w:rPr>
          <w:rFonts w:cs="宋体" w:asciiTheme="minorEastAsia" w:hAnsiTheme="minorEastAsia"/>
          <w:sz w:val="28"/>
          <w:szCs w:val="28"/>
        </w:rPr>
      </w:pPr>
      <w:r>
        <w:rPr>
          <w:rFonts w:hint="eastAsia" w:cs="宋体" w:asciiTheme="minorEastAsia" w:hAnsiTheme="minorEastAsia"/>
          <w:sz w:val="28"/>
          <w:szCs w:val="28"/>
        </w:rPr>
        <w:t>受检企业应当在收到《产品质量监督抽查结果通知单》之日起15日内，向市场监管部门书面反馈检验结果确认情况。逾期未书面反馈或者拒绝签收《产品质量监督抽查结果通知单》的，视为认可检验结果。</w:t>
      </w:r>
    </w:p>
    <w:p w14:paraId="490EDC26">
      <w:pPr>
        <w:snapToGrid w:val="0"/>
        <w:spacing w:line="360" w:lineRule="auto"/>
        <w:rPr>
          <w:rFonts w:cs="宋体" w:asciiTheme="minorEastAsia" w:hAnsiTheme="minorEastAsia"/>
          <w:sz w:val="28"/>
          <w:szCs w:val="28"/>
        </w:rPr>
      </w:pPr>
      <w:r>
        <w:rPr>
          <w:rFonts w:cs="宋体" w:asciiTheme="minorEastAsia" w:hAnsiTheme="minorEastAsia"/>
          <w:sz w:val="28"/>
          <w:szCs w:val="28"/>
        </w:rPr>
        <w:t>9</w:t>
      </w:r>
      <w:r>
        <w:rPr>
          <w:rFonts w:hint="eastAsia" w:cs="宋体" w:asciiTheme="minorEastAsia" w:hAnsiTheme="minorEastAsia"/>
          <w:sz w:val="28"/>
          <w:szCs w:val="28"/>
        </w:rPr>
        <w:t>.异议处理</w:t>
      </w:r>
    </w:p>
    <w:p w14:paraId="5A2073D2">
      <w:pPr>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受检企业收到《产品质量监督抽查结果通知单》之日起15日内，对检验结果有异议的，应当向市场监管部门提出书面异议，并提供相关证明材料。</w:t>
      </w:r>
    </w:p>
    <w:p w14:paraId="2A082D36">
      <w:pPr>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收到受检企业异议申请后，市场监管部门应当作出受理或者不受理的决定，并制作《产品质量监督抽查异议处理通知书》送达企业。</w:t>
      </w:r>
    </w:p>
    <w:p w14:paraId="27137F7C">
      <w:pPr>
        <w:snapToGrid w:val="0"/>
        <w:spacing w:line="360" w:lineRule="auto"/>
        <w:ind w:firstLine="560" w:firstLineChars="200"/>
        <w:rPr>
          <w:rFonts w:cs="宋体" w:asciiTheme="minorEastAsia" w:hAnsiTheme="minorEastAsia"/>
          <w:sz w:val="28"/>
          <w:szCs w:val="28"/>
        </w:rPr>
      </w:pPr>
      <w:r>
        <w:rPr>
          <w:rFonts w:hint="eastAsia" w:cs="宋体" w:asciiTheme="minorEastAsia" w:hAnsiTheme="minorEastAsia"/>
          <w:sz w:val="28"/>
          <w:szCs w:val="28"/>
        </w:rPr>
        <w:t>对需要复检并具备检验条件的，复检承检机构按任务下达部门要求，对留存的样品或抽取的备用样品组织复检，并出具复检报告。</w:t>
      </w:r>
    </w:p>
    <w:p w14:paraId="320E7796">
      <w:pPr>
        <w:pStyle w:val="2"/>
      </w:pPr>
      <w:r>
        <w:rPr>
          <w:rFonts w:hint="eastAsia" w:asciiTheme="minorEastAsia" w:hAnsiTheme="minorEastAsia"/>
          <w:szCs w:val="28"/>
        </w:rPr>
        <w:t xml:space="preserve"> </w:t>
      </w:r>
      <w:r>
        <w:t xml:space="preserve">   </w:t>
      </w:r>
      <w:r>
        <w:rPr>
          <w:rFonts w:hint="eastAsia"/>
        </w:rPr>
        <w:t>复检结论为最终结论。</w:t>
      </w:r>
    </w:p>
    <w:p w14:paraId="700E9087">
      <w:pPr>
        <w:pStyle w:val="16"/>
        <w:spacing w:line="360" w:lineRule="auto"/>
        <w:ind w:firstLine="568"/>
        <w:rPr>
          <w:rFonts w:asciiTheme="minorEastAsia" w:hAnsiTheme="min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汉鼎简书宋二">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2561651"/>
      <w:docPartObj>
        <w:docPartGallery w:val="autotext"/>
      </w:docPartObj>
    </w:sdtPr>
    <w:sdtContent>
      <w:p w14:paraId="6EACAAC9">
        <w:pPr>
          <w:pStyle w:val="6"/>
          <w:jc w:val="right"/>
        </w:pPr>
        <w:r>
          <w:fldChar w:fldCharType="begin"/>
        </w:r>
        <w:r>
          <w:instrText xml:space="preserve">PAGE   \* MERGEFORMAT</w:instrText>
        </w:r>
        <w:r>
          <w:fldChar w:fldCharType="separate"/>
        </w:r>
        <w:r>
          <w:rPr>
            <w:lang w:val="zh-CN"/>
          </w:rPr>
          <w:t>3</w:t>
        </w:r>
        <w:r>
          <w:fldChar w:fldCharType="end"/>
        </w:r>
      </w:p>
    </w:sdtContent>
  </w:sdt>
  <w:p w14:paraId="7120CC5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4235E"/>
    <w:multiLevelType w:val="multilevel"/>
    <w:tmpl w:val="2954235E"/>
    <w:lvl w:ilvl="0" w:tentative="0">
      <w:start w:val="3"/>
      <w:numFmt w:val="decimal"/>
      <w:pStyle w:val="21"/>
      <w:lvlText w:val="%1"/>
      <w:lvlJc w:val="left"/>
      <w:pPr>
        <w:ind w:left="432" w:hanging="432"/>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
    <w:nsid w:val="6CEA2025"/>
    <w:multiLevelType w:val="multilevel"/>
    <w:tmpl w:val="6CEA2025"/>
    <w:lvl w:ilvl="0" w:tentative="0">
      <w:start w:val="1"/>
      <w:numFmt w:val="none"/>
      <w:pStyle w:val="23"/>
      <w:suff w:val="nothing"/>
      <w:lvlText w:val="%1"/>
      <w:lvlJc w:val="left"/>
      <w:pPr>
        <w:ind w:left="0" w:firstLine="0"/>
      </w:pPr>
      <w:rPr>
        <w:rFonts w:hint="default" w:ascii="Times New Roman" w:hAnsi="Times New Roman"/>
        <w:b/>
        <w:i w:val="0"/>
        <w:sz w:val="21"/>
      </w:rPr>
    </w:lvl>
    <w:lvl w:ilvl="1" w:tentative="0">
      <w:start w:val="1"/>
      <w:numFmt w:val="decimal"/>
      <w:pStyle w:val="24"/>
      <w:suff w:val="nothing"/>
      <w:lvlText w:val="%1%2　"/>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tentative="0">
      <w:start w:val="1"/>
      <w:numFmt w:val="decimal"/>
      <w:pStyle w:val="25"/>
      <w:suff w:val="nothing"/>
      <w:lvlText w:val="%1%2.%3　"/>
      <w:lvlJc w:val="left"/>
      <w:pPr>
        <w:ind w:left="0" w:firstLine="0"/>
      </w:pPr>
      <w:rPr>
        <w:rFonts w:hint="eastAsia" w:ascii="黑体" w:hAnsi="Times New Roman" w:eastAsia="黑体"/>
        <w:b w:val="0"/>
        <w:i w:val="0"/>
        <w:sz w:val="21"/>
      </w:rPr>
    </w:lvl>
    <w:lvl w:ilvl="3" w:tentative="0">
      <w:start w:val="1"/>
      <w:numFmt w:val="decimal"/>
      <w:pStyle w:val="26"/>
      <w:suff w:val="nothing"/>
      <w:lvlText w:val="%1%2.%3.%4　"/>
      <w:lvlJc w:val="left"/>
      <w:pPr>
        <w:ind w:left="0" w:firstLine="0"/>
      </w:pPr>
      <w:rPr>
        <w:rFonts w:hint="eastAsia" w:ascii="黑体" w:hAnsi="Times New Roman" w:eastAsia="黑体"/>
        <w:b w:val="0"/>
        <w:i w:val="0"/>
        <w:sz w:val="21"/>
      </w:rPr>
    </w:lvl>
    <w:lvl w:ilvl="4" w:tentative="0">
      <w:start w:val="1"/>
      <w:numFmt w:val="decimal"/>
      <w:pStyle w:val="27"/>
      <w:suff w:val="nothing"/>
      <w:lvlText w:val="%1%2.%3.%4.%5　"/>
      <w:lvlJc w:val="left"/>
      <w:pPr>
        <w:ind w:left="31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pStyle w:val="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1A"/>
    <w:rsid w:val="00002559"/>
    <w:rsid w:val="00045AA7"/>
    <w:rsid w:val="000B3316"/>
    <w:rsid w:val="000D0183"/>
    <w:rsid w:val="000D5B05"/>
    <w:rsid w:val="0010204F"/>
    <w:rsid w:val="0010253F"/>
    <w:rsid w:val="00171423"/>
    <w:rsid w:val="001C07F3"/>
    <w:rsid w:val="001C10DF"/>
    <w:rsid w:val="00207A76"/>
    <w:rsid w:val="00236599"/>
    <w:rsid w:val="00263882"/>
    <w:rsid w:val="002640A9"/>
    <w:rsid w:val="002B29B4"/>
    <w:rsid w:val="002C686D"/>
    <w:rsid w:val="002D0253"/>
    <w:rsid w:val="00306608"/>
    <w:rsid w:val="003068FB"/>
    <w:rsid w:val="00310021"/>
    <w:rsid w:val="00341BF3"/>
    <w:rsid w:val="003E011F"/>
    <w:rsid w:val="003E76C8"/>
    <w:rsid w:val="003F669D"/>
    <w:rsid w:val="00474F1C"/>
    <w:rsid w:val="00475899"/>
    <w:rsid w:val="00476B3C"/>
    <w:rsid w:val="00480546"/>
    <w:rsid w:val="004B6D16"/>
    <w:rsid w:val="004C4D0F"/>
    <w:rsid w:val="004F2ADF"/>
    <w:rsid w:val="00500EBD"/>
    <w:rsid w:val="0050285D"/>
    <w:rsid w:val="005622F2"/>
    <w:rsid w:val="00564C8F"/>
    <w:rsid w:val="00593544"/>
    <w:rsid w:val="0059354F"/>
    <w:rsid w:val="005B3C8F"/>
    <w:rsid w:val="005C331D"/>
    <w:rsid w:val="005C345A"/>
    <w:rsid w:val="005D1D42"/>
    <w:rsid w:val="005E2A0D"/>
    <w:rsid w:val="00637DDA"/>
    <w:rsid w:val="00667E3D"/>
    <w:rsid w:val="006766F4"/>
    <w:rsid w:val="0068352D"/>
    <w:rsid w:val="00691C29"/>
    <w:rsid w:val="006B1991"/>
    <w:rsid w:val="006B51A6"/>
    <w:rsid w:val="006C2623"/>
    <w:rsid w:val="006F4E8E"/>
    <w:rsid w:val="00740B15"/>
    <w:rsid w:val="00743D3F"/>
    <w:rsid w:val="0076661A"/>
    <w:rsid w:val="00775434"/>
    <w:rsid w:val="00783340"/>
    <w:rsid w:val="00791AE5"/>
    <w:rsid w:val="007B5982"/>
    <w:rsid w:val="007B6793"/>
    <w:rsid w:val="007D2BCE"/>
    <w:rsid w:val="007D49E7"/>
    <w:rsid w:val="007F5123"/>
    <w:rsid w:val="00805128"/>
    <w:rsid w:val="008330CF"/>
    <w:rsid w:val="00836C3F"/>
    <w:rsid w:val="0084298A"/>
    <w:rsid w:val="008505B7"/>
    <w:rsid w:val="00864C9E"/>
    <w:rsid w:val="008848E6"/>
    <w:rsid w:val="008C4FE3"/>
    <w:rsid w:val="008E38A0"/>
    <w:rsid w:val="008E4238"/>
    <w:rsid w:val="008F1070"/>
    <w:rsid w:val="008F6EED"/>
    <w:rsid w:val="00946EDB"/>
    <w:rsid w:val="009C1ADA"/>
    <w:rsid w:val="009C74A7"/>
    <w:rsid w:val="00A042E3"/>
    <w:rsid w:val="00A24B55"/>
    <w:rsid w:val="00A4289C"/>
    <w:rsid w:val="00A50F5C"/>
    <w:rsid w:val="00A552F2"/>
    <w:rsid w:val="00A97934"/>
    <w:rsid w:val="00AA0B20"/>
    <w:rsid w:val="00AB4D99"/>
    <w:rsid w:val="00AC7E41"/>
    <w:rsid w:val="00AD4CD2"/>
    <w:rsid w:val="00AE4BCB"/>
    <w:rsid w:val="00B55F5F"/>
    <w:rsid w:val="00B90E9C"/>
    <w:rsid w:val="00BB1E14"/>
    <w:rsid w:val="00BD248A"/>
    <w:rsid w:val="00BE1521"/>
    <w:rsid w:val="00C9410D"/>
    <w:rsid w:val="00CA237C"/>
    <w:rsid w:val="00CA2FA7"/>
    <w:rsid w:val="00CB1F3E"/>
    <w:rsid w:val="00CF40F3"/>
    <w:rsid w:val="00CF749C"/>
    <w:rsid w:val="00CF7C42"/>
    <w:rsid w:val="00D12AB5"/>
    <w:rsid w:val="00D27DF2"/>
    <w:rsid w:val="00D71012"/>
    <w:rsid w:val="00D91A5F"/>
    <w:rsid w:val="00DB6825"/>
    <w:rsid w:val="00DC5C00"/>
    <w:rsid w:val="00DD3171"/>
    <w:rsid w:val="00DF7534"/>
    <w:rsid w:val="00E07208"/>
    <w:rsid w:val="00E145CA"/>
    <w:rsid w:val="00E42260"/>
    <w:rsid w:val="00E5283B"/>
    <w:rsid w:val="00E5694A"/>
    <w:rsid w:val="00E70E71"/>
    <w:rsid w:val="00ED3D87"/>
    <w:rsid w:val="00EF78EB"/>
    <w:rsid w:val="00F2426B"/>
    <w:rsid w:val="00F447FC"/>
    <w:rsid w:val="00F4505F"/>
    <w:rsid w:val="00F47EB2"/>
    <w:rsid w:val="00F5204D"/>
    <w:rsid w:val="00F90DBA"/>
    <w:rsid w:val="00FA090C"/>
    <w:rsid w:val="00FA2676"/>
    <w:rsid w:val="00FB0F83"/>
    <w:rsid w:val="00FD7A54"/>
    <w:rsid w:val="1E6E4E7A"/>
    <w:rsid w:val="20D734E8"/>
    <w:rsid w:val="21807F0A"/>
    <w:rsid w:val="355B60A0"/>
    <w:rsid w:val="60497710"/>
    <w:rsid w:val="67143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eastAsia="宋体" w:cs="宋体"/>
      <w:kern w:val="0"/>
      <w:sz w:val="24"/>
      <w:szCs w:val="2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Plain Text"/>
    <w:basedOn w:val="1"/>
    <w:link w:val="28"/>
    <w:qFormat/>
    <w:uiPriority w:val="0"/>
    <w:rPr>
      <w:rFonts w:ascii="宋体" w:hAnsi="Courier New"/>
      <w:sz w:val="28"/>
      <w:szCs w:val="20"/>
    </w:rPr>
  </w:style>
  <w:style w:type="paragraph" w:styleId="4">
    <w:name w:val="annotation text"/>
    <w:basedOn w:val="1"/>
    <w:link w:val="22"/>
    <w:qFormat/>
    <w:uiPriority w:val="0"/>
    <w:pPr>
      <w:numPr>
        <w:ilvl w:val="6"/>
        <w:numId w:val="1"/>
      </w:numPr>
      <w:spacing w:line="288" w:lineRule="auto"/>
      <w:ind w:left="-108" w:right="-108" w:firstLine="588"/>
      <w:jc w:val="left"/>
    </w:pPr>
    <w:rPr>
      <w:rFonts w:ascii="Times New Roman" w:hAnsi="Times New Roman" w:eastAsia="宋体" w:cs="Times New Roman"/>
      <w:sz w:val="24"/>
      <w:szCs w:val="20"/>
    </w:r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semiHidden/>
    <w:unhideWhenUsed/>
    <w:qFormat/>
    <w:uiPriority w:val="99"/>
    <w:rPr>
      <w:color w:val="333333"/>
      <w:u w:val="none"/>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uiPriority w:val="99"/>
    <w:rPr>
      <w:sz w:val="18"/>
      <w:szCs w:val="18"/>
    </w:rPr>
  </w:style>
  <w:style w:type="character" w:customStyle="1" w:styleId="14">
    <w:name w:val="标题 2 字符"/>
    <w:basedOn w:val="10"/>
    <w:link w:val="3"/>
    <w:qFormat/>
    <w:uiPriority w:val="9"/>
    <w:rPr>
      <w:rFonts w:ascii="宋体" w:hAnsi="宋体" w:eastAsia="宋体" w:cs="宋体"/>
      <w:kern w:val="0"/>
      <w:sz w:val="24"/>
      <w:szCs w:val="24"/>
    </w:rPr>
  </w:style>
  <w:style w:type="character" w:customStyle="1" w:styleId="15">
    <w:name w:val="批注框文本 字符"/>
    <w:basedOn w:val="10"/>
    <w:link w:val="5"/>
    <w:semiHidden/>
    <w:qFormat/>
    <w:uiPriority w:val="99"/>
    <w:rPr>
      <w:sz w:val="18"/>
      <w:szCs w:val="18"/>
    </w:rPr>
  </w:style>
  <w:style w:type="paragraph" w:customStyle="1" w:styleId="16">
    <w:name w:val="肥料正文"/>
    <w:basedOn w:val="1"/>
    <w:qFormat/>
    <w:uiPriority w:val="0"/>
    <w:pPr>
      <w:adjustRightInd w:val="0"/>
      <w:snapToGrid w:val="0"/>
      <w:spacing w:line="317" w:lineRule="auto"/>
      <w:ind w:firstLine="200" w:firstLineChars="200"/>
    </w:pPr>
    <w:rPr>
      <w:rFonts w:ascii="Times New Roman" w:hAnsi="Times New Roman" w:eastAsia="汉鼎简书宋二" w:cs="Times New Roman"/>
      <w:snapToGrid w:val="0"/>
      <w:spacing w:val="2"/>
      <w:kern w:val="0"/>
      <w:sz w:val="22"/>
      <w:szCs w:val="24"/>
    </w:rPr>
  </w:style>
  <w:style w:type="character" w:customStyle="1" w:styleId="17">
    <w:name w:val="正文 + (西文) Times New Roman Char"/>
    <w:basedOn w:val="10"/>
    <w:link w:val="18"/>
    <w:qFormat/>
    <w:locked/>
    <w:uiPriority w:val="0"/>
    <w:rPr>
      <w:rFonts w:ascii="仿宋_GB2312" w:hAnsi="宋体" w:eastAsia="仿宋_GB2312"/>
      <w:color w:val="000000"/>
      <w:sz w:val="28"/>
      <w:szCs w:val="28"/>
    </w:rPr>
  </w:style>
  <w:style w:type="paragraph" w:customStyle="1" w:styleId="18">
    <w:name w:val="正文 + (西文) Times New Roman"/>
    <w:basedOn w:val="8"/>
    <w:link w:val="17"/>
    <w:qFormat/>
    <w:uiPriority w:val="0"/>
    <w:pPr>
      <w:autoSpaceDE w:val="0"/>
      <w:autoSpaceDN w:val="0"/>
      <w:spacing w:before="0" w:beforeAutospacing="0" w:after="0" w:afterAutospacing="0" w:line="360" w:lineRule="auto"/>
      <w:ind w:firstLine="560" w:firstLineChars="200"/>
    </w:pPr>
    <w:rPr>
      <w:rFonts w:ascii="仿宋_GB2312" w:eastAsia="仿宋_GB2312" w:cstheme="minorBidi"/>
      <w:color w:val="000000"/>
      <w:kern w:val="2"/>
      <w:sz w:val="28"/>
      <w:szCs w:val="28"/>
    </w:rPr>
  </w:style>
  <w:style w:type="paragraph" w:styleId="19">
    <w:name w:val="List Paragraph"/>
    <w:basedOn w:val="1"/>
    <w:qFormat/>
    <w:uiPriority w:val="34"/>
    <w:pPr>
      <w:ind w:firstLine="420" w:firstLineChars="200"/>
    </w:pPr>
    <w:rPr>
      <w:rFonts w:ascii="Times New Roman" w:hAnsi="Times New Roman" w:eastAsia="宋体" w:cs="Times New Roman"/>
      <w:szCs w:val="24"/>
    </w:rPr>
  </w:style>
  <w:style w:type="paragraph" w:customStyle="1" w:styleId="20">
    <w:name w:val="一级无"/>
    <w:basedOn w:val="1"/>
    <w:qFormat/>
    <w:uiPriority w:val="0"/>
    <w:pPr>
      <w:widowControl/>
      <w:tabs>
        <w:tab w:val="left" w:pos="2160"/>
      </w:tabs>
      <w:ind w:left="2160" w:hanging="720"/>
      <w:jc w:val="left"/>
      <w:outlineLvl w:val="2"/>
    </w:pPr>
    <w:rPr>
      <w:rFonts w:ascii="宋体" w:hAnsi="黑体" w:eastAsia="宋体" w:cs="Times New Roman"/>
      <w:kern w:val="0"/>
      <w:szCs w:val="21"/>
    </w:rPr>
  </w:style>
  <w:style w:type="paragraph" w:customStyle="1" w:styleId="21">
    <w:name w:val="字母编号列项（一级）"/>
    <w:qFormat/>
    <w:uiPriority w:val="0"/>
    <w:pPr>
      <w:numPr>
        <w:ilvl w:val="0"/>
        <w:numId w:val="2"/>
      </w:numPr>
      <w:tabs>
        <w:tab w:val="left" w:pos="839"/>
      </w:tabs>
      <w:jc w:val="both"/>
    </w:pPr>
    <w:rPr>
      <w:rFonts w:ascii="宋体" w:hAnsi="Times New Roman" w:eastAsia="宋体" w:cs="Times New Roman"/>
      <w:sz w:val="21"/>
      <w:lang w:val="en-US" w:eastAsia="zh-CN" w:bidi="ar-SA"/>
    </w:rPr>
  </w:style>
  <w:style w:type="character" w:customStyle="1" w:styleId="22">
    <w:name w:val="批注文字 字符"/>
    <w:basedOn w:val="10"/>
    <w:link w:val="4"/>
    <w:semiHidden/>
    <w:uiPriority w:val="99"/>
    <w:rPr>
      <w:rFonts w:ascii="Times New Roman" w:hAnsi="Times New Roman" w:eastAsia="宋体" w:cs="Times New Roman"/>
      <w:sz w:val="24"/>
      <w:szCs w:val="20"/>
    </w:rPr>
  </w:style>
  <w:style w:type="paragraph" w:customStyle="1" w:styleId="23">
    <w:name w:val="三级条标题"/>
    <w:basedOn w:val="1"/>
    <w:next w:val="1"/>
    <w:qFormat/>
    <w:uiPriority w:val="0"/>
    <w:pPr>
      <w:widowControl/>
      <w:numPr>
        <w:ilvl w:val="0"/>
        <w:numId w:val="1"/>
      </w:numPr>
      <w:ind w:left="315"/>
      <w:outlineLvl w:val="4"/>
    </w:pPr>
    <w:rPr>
      <w:rFonts w:ascii="黑体" w:hAnsi="Times New Roman" w:eastAsia="黑体" w:cs="Times New Roman"/>
      <w:kern w:val="0"/>
      <w:szCs w:val="20"/>
    </w:rPr>
  </w:style>
  <w:style w:type="paragraph" w:customStyle="1" w:styleId="24">
    <w:name w:val="四级条标题"/>
    <w:basedOn w:val="23"/>
    <w:next w:val="1"/>
    <w:qFormat/>
    <w:uiPriority w:val="0"/>
    <w:pPr>
      <w:numPr>
        <w:ilvl w:val="1"/>
      </w:numPr>
      <w:outlineLvl w:val="5"/>
    </w:pPr>
  </w:style>
  <w:style w:type="paragraph" w:customStyle="1" w:styleId="25">
    <w:name w:val="五级条标题"/>
    <w:basedOn w:val="24"/>
    <w:next w:val="1"/>
    <w:qFormat/>
    <w:uiPriority w:val="0"/>
    <w:pPr>
      <w:numPr>
        <w:ilvl w:val="2"/>
      </w:numPr>
    </w:pPr>
  </w:style>
  <w:style w:type="paragraph" w:customStyle="1" w:styleId="26">
    <w:name w:val="段"/>
    <w:qFormat/>
    <w:uiPriority w:val="0"/>
    <w:pPr>
      <w:numPr>
        <w:ilvl w:val="3"/>
        <w:numId w:val="1"/>
      </w:num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
    <w:name w:val="图表脚注"/>
    <w:next w:val="26"/>
    <w:qFormat/>
    <w:uiPriority w:val="0"/>
    <w:pPr>
      <w:numPr>
        <w:ilvl w:val="4"/>
        <w:numId w:val="1"/>
      </w:numPr>
      <w:ind w:left="300" w:leftChars="200" w:hanging="100" w:hangingChars="100"/>
      <w:jc w:val="both"/>
    </w:pPr>
    <w:rPr>
      <w:rFonts w:ascii="宋体" w:hAnsi="Times New Roman" w:eastAsia="宋体" w:cs="Times New Roman"/>
      <w:sz w:val="18"/>
      <w:lang w:val="en-US" w:eastAsia="zh-CN" w:bidi="ar-SA"/>
    </w:rPr>
  </w:style>
  <w:style w:type="character" w:customStyle="1" w:styleId="28">
    <w:name w:val="纯文本 字符"/>
    <w:basedOn w:val="10"/>
    <w:link w:val="2"/>
    <w:qFormat/>
    <w:uiPriority w:val="0"/>
    <w:rPr>
      <w:rFonts w:ascii="宋体" w:hAnsi="Courier New" w:eastAsiaTheme="minorEastAsia" w:cstheme="minorBidi"/>
      <w:kern w:val="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1175</Words>
  <Characters>1281</Characters>
  <Lines>9</Lines>
  <Paragraphs>2</Paragraphs>
  <TotalTime>57</TotalTime>
  <ScaleCrop>false</ScaleCrop>
  <LinksUpToDate>false</LinksUpToDate>
  <CharactersWithSpaces>1299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2020-08-07T08:36:00Z</dcterms:created>
  <dc:creator>admin</dc:creator>
  <cp:lastModifiedBy>189----7681</cp:lastModifiedBy>
  <dcterms:modified xsi:type="dcterms:W3CDTF">2025-02-05T03:07:03Z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eyJoZGlkIjoiOGQ2NTdkNDJhYTIzZWJiYjI4ZTA5NGRjZDczZDNiYTIiLCJ1c2VySWQiOiIxNTg0MDE2MTE3In0=</vt:lpwstr>
  </property>
  <property fmtid="{D5CDD505-2E9C-101B-9397-08002B2CF9AE}" pid="4" name="ICV">
    <vt:lpwstr>B820F138DB974A03964A87BE9ECBF0B1_12</vt:lpwstr>
  </property>
</Properties>
</file>