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290B3">
      <w:pPr>
        <w:jc w:val="center"/>
        <w:rPr>
          <w:rFonts w:hint="eastAsia" w:asciiTheme="minorEastAsia" w:hAnsiTheme="minorEastAsia"/>
          <w:b/>
          <w:sz w:val="28"/>
          <w:szCs w:val="28"/>
        </w:rPr>
      </w:pPr>
      <w:r>
        <w:rPr>
          <w:rFonts w:hint="eastAsia" w:asciiTheme="minorEastAsia" w:hAnsiTheme="minorEastAsia"/>
          <w:b/>
          <w:sz w:val="28"/>
          <w:szCs w:val="28"/>
        </w:rPr>
        <w:t>2025年连云港市紧固件产品质量监督抽查细则</w:t>
      </w:r>
    </w:p>
    <w:p w14:paraId="02881E52">
      <w:pPr>
        <w:jc w:val="center"/>
        <w:rPr>
          <w:rFonts w:asciiTheme="minorEastAsia" w:hAnsiTheme="minorEastAsia"/>
          <w:sz w:val="24"/>
        </w:rPr>
      </w:pPr>
    </w:p>
    <w:p w14:paraId="7D5AEFDF">
      <w:pPr>
        <w:spacing w:line="360" w:lineRule="auto"/>
        <w:rPr>
          <w:rFonts w:asciiTheme="minorEastAsia" w:hAnsiTheme="minorEastAsia"/>
          <w:sz w:val="24"/>
        </w:rPr>
      </w:pPr>
      <w:r>
        <w:rPr>
          <w:rFonts w:hint="eastAsia" w:asciiTheme="minorEastAsia" w:hAnsiTheme="minorEastAsia"/>
          <w:sz w:val="24"/>
        </w:rPr>
        <w:t>1.范围</w:t>
      </w:r>
    </w:p>
    <w:p w14:paraId="7A91E29B">
      <w:pPr>
        <w:spacing w:line="360" w:lineRule="auto"/>
        <w:ind w:firstLine="480" w:firstLineChars="200"/>
        <w:rPr>
          <w:rFonts w:asciiTheme="minorEastAsia" w:hAnsiTheme="minorEastAsia"/>
          <w:sz w:val="24"/>
        </w:rPr>
      </w:pPr>
      <w:r>
        <w:rPr>
          <w:rFonts w:hint="eastAsia" w:asciiTheme="minorEastAsia" w:hAnsiTheme="minorEastAsia"/>
          <w:sz w:val="24"/>
        </w:rPr>
        <w:t>本细则适用于</w:t>
      </w:r>
      <w:r>
        <w:rPr>
          <w:rFonts w:hint="eastAsia" w:asciiTheme="minorEastAsia" w:hAnsiTheme="minorEastAsia"/>
          <w:sz w:val="24"/>
          <w:lang w:val="en-US" w:eastAsia="zh-CN"/>
        </w:rPr>
        <w:t>海州区</w:t>
      </w:r>
      <w:bookmarkStart w:id="0" w:name="_GoBack"/>
      <w:bookmarkEnd w:id="0"/>
      <w:r>
        <w:rPr>
          <w:rFonts w:hint="eastAsia" w:asciiTheme="minorEastAsia" w:hAnsiTheme="minorEastAsia"/>
          <w:sz w:val="24"/>
        </w:rPr>
        <w:t>市场监督管理局组织实施的紧固件产品质量生产企业、流通领域的监督抽查。</w:t>
      </w:r>
    </w:p>
    <w:p w14:paraId="391B0EF9">
      <w:pPr>
        <w:spacing w:line="360" w:lineRule="auto"/>
        <w:ind w:firstLine="480" w:firstLineChars="200"/>
        <w:rPr>
          <w:rFonts w:asciiTheme="minorEastAsia" w:hAnsiTheme="minorEastAsia"/>
          <w:sz w:val="24"/>
        </w:rPr>
      </w:pPr>
      <w:r>
        <w:rPr>
          <w:rFonts w:hint="eastAsia" w:asciiTheme="minorEastAsia" w:hAnsiTheme="minorEastAsia"/>
          <w:sz w:val="24"/>
        </w:rPr>
        <w:t>本细则内容包括产品类别、检验依据、抽样、检验项目、判定原则、检验结果确认、异议处理。</w:t>
      </w:r>
    </w:p>
    <w:p w14:paraId="3EE0DB06">
      <w:pPr>
        <w:spacing w:line="360" w:lineRule="auto"/>
        <w:rPr>
          <w:rFonts w:asciiTheme="minorEastAsia" w:hAnsiTheme="minorEastAsia"/>
          <w:sz w:val="24"/>
        </w:rPr>
      </w:pPr>
      <w:r>
        <w:rPr>
          <w:rFonts w:asciiTheme="minorEastAsia" w:hAnsiTheme="minorEastAsia"/>
          <w:sz w:val="24"/>
        </w:rPr>
        <w:t>2.</w:t>
      </w:r>
      <w:r>
        <w:rPr>
          <w:rFonts w:hint="eastAsia" w:asciiTheme="minorEastAsia" w:hAnsiTheme="minorEastAsia"/>
          <w:sz w:val="24"/>
        </w:rPr>
        <w:t>产品类别</w:t>
      </w:r>
    </w:p>
    <w:p w14:paraId="5E2526B7">
      <w:pPr>
        <w:spacing w:line="360" w:lineRule="auto"/>
        <w:ind w:firstLine="480" w:firstLineChars="200"/>
        <w:rPr>
          <w:rFonts w:asciiTheme="minorEastAsia" w:hAnsiTheme="minorEastAsia"/>
          <w:sz w:val="24"/>
        </w:rPr>
      </w:pPr>
      <w:r>
        <w:rPr>
          <w:rFonts w:hint="eastAsia" w:asciiTheme="minorEastAsia" w:hAnsiTheme="minorEastAsia"/>
          <w:sz w:val="24"/>
        </w:rPr>
        <w:t>紧固件。</w:t>
      </w:r>
    </w:p>
    <w:p w14:paraId="2FC3A10A">
      <w:pPr>
        <w:spacing w:line="360" w:lineRule="auto"/>
        <w:rPr>
          <w:rFonts w:asciiTheme="minorEastAsia" w:hAnsiTheme="minorEastAsia"/>
          <w:sz w:val="24"/>
        </w:rPr>
      </w:pPr>
      <w:r>
        <w:rPr>
          <w:rFonts w:hint="eastAsia" w:asciiTheme="minorEastAsia" w:hAnsiTheme="minorEastAsia"/>
          <w:sz w:val="24"/>
        </w:rPr>
        <w:t>3.检验依据</w:t>
      </w:r>
    </w:p>
    <w:p w14:paraId="15A4271A">
      <w:pPr>
        <w:spacing w:line="360" w:lineRule="auto"/>
        <w:rPr>
          <w:rFonts w:asciiTheme="minorEastAsia" w:hAnsiTheme="minorEastAsia"/>
          <w:sz w:val="24"/>
        </w:rPr>
      </w:pPr>
      <w:r>
        <w:rPr>
          <w:rFonts w:hint="eastAsia" w:asciiTheme="minorEastAsia" w:hAnsiTheme="minorEastAsia"/>
          <w:sz w:val="24"/>
        </w:rPr>
        <w:t>螺栓、螺钉和螺柱等相关标准。</w:t>
      </w:r>
    </w:p>
    <w:p w14:paraId="433CDB98">
      <w:pPr>
        <w:spacing w:line="360" w:lineRule="auto"/>
        <w:rPr>
          <w:rFonts w:hint="eastAsia" w:asciiTheme="minorEastAsia" w:hAnsiTheme="minorEastAsia"/>
          <w:sz w:val="24"/>
        </w:rPr>
      </w:pPr>
      <w:r>
        <w:rPr>
          <w:rFonts w:hint="eastAsia" w:asciiTheme="minorEastAsia" w:hAnsiTheme="minorEastAsia"/>
          <w:sz w:val="24"/>
        </w:rPr>
        <w:t>GB/T 3098.1-2010 紧固件机械性能 螺栓、螺钉和螺柱</w:t>
      </w:r>
    </w:p>
    <w:p w14:paraId="1BC6EE35">
      <w:pPr>
        <w:spacing w:line="360" w:lineRule="auto"/>
        <w:rPr>
          <w:rFonts w:asciiTheme="minorEastAsia" w:hAnsiTheme="minorEastAsia"/>
          <w:sz w:val="24"/>
        </w:rPr>
      </w:pPr>
      <w:r>
        <w:rPr>
          <w:rFonts w:asciiTheme="minorEastAsia" w:hAnsiTheme="minorEastAsia"/>
          <w:sz w:val="24"/>
        </w:rPr>
        <w:t>GB/T 5783-2016</w:t>
      </w:r>
      <w:r>
        <w:rPr>
          <w:rFonts w:hint="eastAsia" w:asciiTheme="minorEastAsia" w:hAnsiTheme="minorEastAsia"/>
          <w:sz w:val="24"/>
        </w:rPr>
        <w:t xml:space="preserve">   六角头螺栓 全螺纹等</w:t>
      </w:r>
    </w:p>
    <w:p w14:paraId="52C3D5D7">
      <w:pPr>
        <w:spacing w:line="360" w:lineRule="auto"/>
        <w:rPr>
          <w:rFonts w:asciiTheme="minorEastAsia" w:hAnsiTheme="minorEastAsia"/>
          <w:sz w:val="24"/>
        </w:rPr>
      </w:pPr>
      <w:r>
        <w:rPr>
          <w:rFonts w:hint="eastAsia" w:asciiTheme="minorEastAsia" w:hAnsiTheme="minorEastAsia"/>
          <w:sz w:val="24"/>
        </w:rPr>
        <w:t>产品明示质量指标及国家法律、法规、规章的有关规定等。</w:t>
      </w:r>
    </w:p>
    <w:p w14:paraId="0E9A00A1">
      <w:pPr>
        <w:spacing w:line="360" w:lineRule="auto"/>
        <w:rPr>
          <w:rFonts w:asciiTheme="minorEastAsia" w:hAnsiTheme="minorEastAsia"/>
          <w:sz w:val="24"/>
        </w:rPr>
      </w:pPr>
      <w:r>
        <w:rPr>
          <w:rFonts w:hint="eastAsia" w:asciiTheme="minorEastAsia" w:hAnsiTheme="minorEastAsia"/>
          <w:sz w:val="24"/>
        </w:rPr>
        <w:t>4.抽样</w:t>
      </w:r>
    </w:p>
    <w:p w14:paraId="3B763850">
      <w:pPr>
        <w:spacing w:line="360" w:lineRule="auto"/>
        <w:rPr>
          <w:rFonts w:asciiTheme="minorEastAsia" w:hAnsiTheme="minorEastAsia"/>
          <w:sz w:val="24"/>
        </w:rPr>
      </w:pPr>
      <w:r>
        <w:rPr>
          <w:rFonts w:hint="eastAsia" w:asciiTheme="minorEastAsia" w:hAnsiTheme="minorEastAsia"/>
          <w:sz w:val="24"/>
        </w:rPr>
        <w:t>4.1抽样方法、基数及数量</w:t>
      </w:r>
    </w:p>
    <w:p w14:paraId="2FF08024">
      <w:pPr>
        <w:spacing w:line="360" w:lineRule="auto"/>
        <w:ind w:firstLine="480" w:firstLineChars="200"/>
        <w:rPr>
          <w:rFonts w:asciiTheme="minorEastAsia" w:hAnsiTheme="minorEastAsia"/>
          <w:sz w:val="24"/>
        </w:rPr>
      </w:pPr>
      <w:r>
        <w:rPr>
          <w:rFonts w:hint="eastAsia" w:asciiTheme="minorEastAsia" w:hAnsiTheme="minorEastAsia"/>
          <w:sz w:val="24"/>
        </w:rPr>
        <w:t>在市场销售领域中，实体店中的待销产品中随机抽取，抽样基数满足抽样需要即可。检验用样品按进货价购买，索取发票等购样凭据留证，备用样品按要求封存在经营者处，采样过程均需拍照留证。一经采样，立即封样，不得调换。</w:t>
      </w:r>
    </w:p>
    <w:p w14:paraId="43E00398">
      <w:pPr>
        <w:spacing w:line="360" w:lineRule="auto"/>
        <w:rPr>
          <w:rFonts w:asciiTheme="minorEastAsia" w:hAnsiTheme="minorEastAsia"/>
          <w:sz w:val="24"/>
        </w:rPr>
      </w:pPr>
      <w:r>
        <w:rPr>
          <w:rFonts w:hint="eastAsia" w:asciiTheme="minorEastAsia" w:hAnsiTheme="minorEastAsia"/>
          <w:sz w:val="24"/>
        </w:rPr>
        <w:t>在生产企业抽样时，抽样基数应当满足以下要求。随机数一般可使用随机数表、骰子或扑克牌等方法产生。</w:t>
      </w:r>
    </w:p>
    <w:p w14:paraId="11F2816C">
      <w:pPr>
        <w:spacing w:line="360" w:lineRule="auto"/>
        <w:ind w:firstLine="480" w:firstLineChars="200"/>
        <w:rPr>
          <w:rFonts w:asciiTheme="minorEastAsia" w:hAnsiTheme="minorEastAsia"/>
          <w:sz w:val="24"/>
        </w:rPr>
      </w:pPr>
      <w:r>
        <w:rPr>
          <w:rFonts w:hint="eastAsia" w:asciiTheme="minorEastAsia" w:hAnsiTheme="minorEastAsia"/>
          <w:sz w:val="24"/>
        </w:rPr>
        <w:t>在生产企业的成品库内随机抽取有产品质量检验合格证明或者以其他形式表明合格的、近期生产的产品。抽样批次数为1～2批次，优先抽取产品标准中较高强度等级的牌号的产品。同一标准生产的同一商标、同一规格的样品32只，其中16只为检样，另16只为备用。</w:t>
      </w:r>
    </w:p>
    <w:p w14:paraId="21B97A59">
      <w:pPr>
        <w:spacing w:line="360" w:lineRule="auto"/>
        <w:rPr>
          <w:rFonts w:asciiTheme="minorEastAsia" w:hAnsiTheme="minorEastAsia"/>
          <w:sz w:val="24"/>
        </w:rPr>
      </w:pPr>
      <w:r>
        <w:rPr>
          <w:rFonts w:hint="eastAsia" w:asciiTheme="minorEastAsia" w:hAnsiTheme="minorEastAsia"/>
          <w:sz w:val="24"/>
        </w:rPr>
        <w:t>4.2 样品的运输与保存</w:t>
      </w:r>
    </w:p>
    <w:p w14:paraId="3EAD81E1">
      <w:pPr>
        <w:spacing w:line="360" w:lineRule="auto"/>
        <w:ind w:firstLine="480" w:firstLineChars="200"/>
        <w:rPr>
          <w:rFonts w:asciiTheme="minorEastAsia" w:hAnsiTheme="minorEastAsia"/>
          <w:sz w:val="24"/>
        </w:rPr>
      </w:pPr>
      <w:r>
        <w:rPr>
          <w:rFonts w:hint="eastAsia" w:asciiTheme="minorEastAsia" w:hAnsiTheme="minorEastAsia"/>
          <w:sz w:val="24"/>
        </w:rPr>
        <w:t>样品应采用包装材料全部包裹，为防拆封，可使用多张封条，并采用透明胶带缠裹。封条上应有检验机构公章、抽样人员签字、被抽查企业人员签字、封样日期等。封好的样品应拍照取证。被抽查的样品由检验机构带回到检验机构，备用样品由检验机构存放。</w:t>
      </w:r>
    </w:p>
    <w:p w14:paraId="21339AFF">
      <w:pPr>
        <w:spacing w:line="360" w:lineRule="auto"/>
        <w:rPr>
          <w:rFonts w:asciiTheme="minorEastAsia" w:hAnsiTheme="minorEastAsia"/>
          <w:sz w:val="24"/>
        </w:rPr>
      </w:pPr>
      <w:r>
        <w:rPr>
          <w:rFonts w:hint="eastAsia" w:asciiTheme="minorEastAsia" w:hAnsiTheme="minorEastAsia"/>
          <w:sz w:val="24"/>
        </w:rPr>
        <w:t>5. 检验项目</w:t>
      </w:r>
    </w:p>
    <w:p w14:paraId="4F1436F4">
      <w:pPr>
        <w:spacing w:line="360" w:lineRule="auto"/>
        <w:rPr>
          <w:rFonts w:hint="eastAsia" w:asciiTheme="minorEastAsia" w:hAnsiTheme="minorEastAsia"/>
          <w:sz w:val="24"/>
        </w:rPr>
      </w:pPr>
      <w:r>
        <w:rPr>
          <w:rFonts w:hint="eastAsia" w:asciiTheme="minorEastAsia" w:hAnsiTheme="minorEastAsia"/>
          <w:sz w:val="24"/>
        </w:rPr>
        <w:t>紧固件产品检验项目表</w:t>
      </w:r>
    </w:p>
    <w:p w14:paraId="1B4040AC">
      <w:pPr>
        <w:snapToGrid w:val="0"/>
        <w:spacing w:line="360" w:lineRule="auto"/>
        <w:jc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紧固件产品检验项目表</w:t>
      </w:r>
    </w:p>
    <w:tbl>
      <w:tblPr>
        <w:tblStyle w:val="6"/>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600"/>
        <w:gridCol w:w="2126"/>
        <w:gridCol w:w="2410"/>
        <w:gridCol w:w="2353"/>
      </w:tblGrid>
      <w:tr w14:paraId="0165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670" w:type="dxa"/>
            <w:vAlign w:val="center"/>
          </w:tcPr>
          <w:p w14:paraId="07CA66DC">
            <w:pPr>
              <w:snapToGrid w:val="0"/>
              <w:spacing w:line="360" w:lineRule="auto"/>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序号</w:t>
            </w:r>
          </w:p>
        </w:tc>
        <w:tc>
          <w:tcPr>
            <w:tcW w:w="1600" w:type="dxa"/>
            <w:vAlign w:val="center"/>
          </w:tcPr>
          <w:p w14:paraId="786E7C41">
            <w:pPr>
              <w:snapToGrid w:val="0"/>
              <w:spacing w:line="360" w:lineRule="auto"/>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检验项目</w:t>
            </w:r>
          </w:p>
        </w:tc>
        <w:tc>
          <w:tcPr>
            <w:tcW w:w="2126" w:type="dxa"/>
            <w:vAlign w:val="center"/>
          </w:tcPr>
          <w:p w14:paraId="033B967B">
            <w:pPr>
              <w:snapToGrid w:val="0"/>
              <w:spacing w:line="360" w:lineRule="auto"/>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检验依据</w:t>
            </w:r>
          </w:p>
        </w:tc>
        <w:tc>
          <w:tcPr>
            <w:tcW w:w="2410" w:type="dxa"/>
            <w:vAlign w:val="center"/>
          </w:tcPr>
          <w:p w14:paraId="5A482AF9">
            <w:pPr>
              <w:snapToGrid w:val="0"/>
              <w:spacing w:line="360" w:lineRule="auto"/>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检验检测方法</w:t>
            </w:r>
          </w:p>
        </w:tc>
        <w:tc>
          <w:tcPr>
            <w:tcW w:w="2353" w:type="dxa"/>
            <w:vAlign w:val="center"/>
          </w:tcPr>
          <w:p w14:paraId="1DF5E588">
            <w:pPr>
              <w:spacing w:line="360" w:lineRule="auto"/>
              <w:jc w:val="left"/>
              <w:rPr>
                <w:rFonts w:ascii="宋体" w:hAnsi="宋体" w:eastAsia="宋体" w:cs="Times New Roman"/>
                <w:kern w:val="0"/>
                <w:szCs w:val="21"/>
              </w:rPr>
            </w:pPr>
            <w:r>
              <w:rPr>
                <w:rFonts w:hint="eastAsia" w:ascii="宋体" w:hAnsi="宋体" w:eastAsia="宋体" w:cs="Times New Roman"/>
                <w:kern w:val="0"/>
                <w:szCs w:val="21"/>
              </w:rPr>
              <w:t>检验过程是否需要电子</w:t>
            </w:r>
          </w:p>
          <w:p w14:paraId="22A0FB2E">
            <w:pPr>
              <w:spacing w:line="360" w:lineRule="auto"/>
              <w:jc w:val="left"/>
              <w:rPr>
                <w:rFonts w:ascii="宋体" w:hAnsi="宋体" w:eastAsia="宋体" w:cs="Times New Roman"/>
                <w:kern w:val="0"/>
                <w:szCs w:val="21"/>
              </w:rPr>
            </w:pPr>
            <w:r>
              <w:rPr>
                <w:rFonts w:hint="eastAsia" w:ascii="宋体" w:hAnsi="宋体" w:eastAsia="宋体" w:cs="Times New Roman"/>
                <w:kern w:val="0"/>
                <w:szCs w:val="21"/>
              </w:rPr>
              <w:t>记录或影像记录</w:t>
            </w:r>
          </w:p>
        </w:tc>
      </w:tr>
      <w:tr w14:paraId="0C40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0" w:type="dxa"/>
            <w:vAlign w:val="center"/>
          </w:tcPr>
          <w:p w14:paraId="21DAD405">
            <w:pPr>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1600" w:type="dxa"/>
            <w:vAlign w:val="center"/>
          </w:tcPr>
          <w:p w14:paraId="1DBE8C89">
            <w:pPr>
              <w:spacing w:line="360" w:lineRule="auto"/>
              <w:jc w:val="center"/>
              <w:rPr>
                <w:rFonts w:ascii="宋体" w:hAnsi="宋体" w:eastAsia="宋体" w:cs="Times New Roman"/>
                <w:kern w:val="0"/>
                <w:szCs w:val="21"/>
                <w:lang w:eastAsia="en-US"/>
              </w:rPr>
            </w:pPr>
            <w:r>
              <w:rPr>
                <w:rFonts w:hint="eastAsia" w:ascii="宋体" w:hAnsi="宋体" w:eastAsia="宋体" w:cs="Times New Roman"/>
                <w:kern w:val="0"/>
                <w:szCs w:val="21"/>
              </w:rPr>
              <w:t>保证载荷</w:t>
            </w:r>
          </w:p>
        </w:tc>
        <w:tc>
          <w:tcPr>
            <w:tcW w:w="2126" w:type="dxa"/>
            <w:vAlign w:val="center"/>
          </w:tcPr>
          <w:p w14:paraId="42ABFC43">
            <w:pPr>
              <w:snapToGrid w:val="0"/>
              <w:spacing w:line="360" w:lineRule="auto"/>
              <w:jc w:val="center"/>
              <w:rPr>
                <w:rFonts w:ascii="宋体" w:hAnsi="宋体" w:eastAsia="宋体" w:cs="Times New Roman"/>
                <w:kern w:val="0"/>
                <w:szCs w:val="21"/>
                <w:lang w:eastAsia="en-US"/>
              </w:rPr>
            </w:pPr>
            <w:r>
              <w:rPr>
                <w:rFonts w:ascii="宋体" w:hAnsi="宋体" w:eastAsia="宋体" w:cs="Times New Roman"/>
                <w:kern w:val="0"/>
                <w:szCs w:val="21"/>
                <w:lang w:eastAsia="en-US"/>
              </w:rPr>
              <w:t>GB/T 3098.1—2010</w:t>
            </w:r>
          </w:p>
        </w:tc>
        <w:tc>
          <w:tcPr>
            <w:tcW w:w="2410" w:type="dxa"/>
            <w:vAlign w:val="center"/>
          </w:tcPr>
          <w:p w14:paraId="2D80FDC1">
            <w:pPr>
              <w:snapToGrid w:val="0"/>
              <w:spacing w:line="360" w:lineRule="auto"/>
              <w:jc w:val="center"/>
              <w:rPr>
                <w:rFonts w:ascii="宋体" w:hAnsi="宋体" w:eastAsia="宋体" w:cs="Times New Roman"/>
                <w:kern w:val="0"/>
                <w:szCs w:val="21"/>
                <w:lang w:val="zh-CN" w:eastAsia="en-US"/>
              </w:rPr>
            </w:pPr>
            <w:r>
              <w:rPr>
                <w:rFonts w:ascii="宋体" w:hAnsi="宋体" w:eastAsia="宋体" w:cs="Times New Roman"/>
                <w:kern w:val="0"/>
                <w:szCs w:val="21"/>
                <w:lang w:eastAsia="en-US"/>
              </w:rPr>
              <w:t>GB/T 3098.1—2010</w:t>
            </w:r>
          </w:p>
        </w:tc>
        <w:tc>
          <w:tcPr>
            <w:tcW w:w="2353" w:type="dxa"/>
            <w:vAlign w:val="center"/>
          </w:tcPr>
          <w:p w14:paraId="73989D2F">
            <w:pPr>
              <w:spacing w:line="360" w:lineRule="auto"/>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否</w:t>
            </w:r>
          </w:p>
        </w:tc>
      </w:tr>
      <w:tr w14:paraId="01CD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0" w:type="dxa"/>
            <w:vAlign w:val="center"/>
          </w:tcPr>
          <w:p w14:paraId="72CDEADE">
            <w:pPr>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2</w:t>
            </w:r>
          </w:p>
        </w:tc>
        <w:tc>
          <w:tcPr>
            <w:tcW w:w="1600" w:type="dxa"/>
            <w:vAlign w:val="center"/>
          </w:tcPr>
          <w:p w14:paraId="4E0B4DAD">
            <w:pPr>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维氏硬度</w:t>
            </w:r>
          </w:p>
        </w:tc>
        <w:tc>
          <w:tcPr>
            <w:tcW w:w="2126" w:type="dxa"/>
            <w:vAlign w:val="center"/>
          </w:tcPr>
          <w:p w14:paraId="7B3E476C">
            <w:pPr>
              <w:snapToGrid w:val="0"/>
              <w:spacing w:line="360" w:lineRule="auto"/>
              <w:jc w:val="center"/>
              <w:rPr>
                <w:rFonts w:ascii="宋体" w:hAnsi="宋体" w:eastAsia="宋体" w:cs="Times New Roman"/>
                <w:kern w:val="0"/>
                <w:szCs w:val="21"/>
                <w:lang w:eastAsia="en-US"/>
              </w:rPr>
            </w:pPr>
            <w:r>
              <w:rPr>
                <w:rFonts w:ascii="宋体" w:hAnsi="宋体" w:eastAsia="宋体" w:cs="Times New Roman"/>
                <w:kern w:val="0"/>
                <w:szCs w:val="21"/>
                <w:lang w:eastAsia="en-US"/>
              </w:rPr>
              <w:t>GB/T 3098.1—2010</w:t>
            </w:r>
          </w:p>
        </w:tc>
        <w:tc>
          <w:tcPr>
            <w:tcW w:w="2410" w:type="dxa"/>
            <w:vAlign w:val="center"/>
          </w:tcPr>
          <w:p w14:paraId="4FE89B37">
            <w:pPr>
              <w:snapToGrid w:val="0"/>
              <w:spacing w:line="360" w:lineRule="auto"/>
              <w:jc w:val="center"/>
              <w:rPr>
                <w:rFonts w:ascii="宋体" w:hAnsi="宋体" w:eastAsia="宋体" w:cs="Times New Roman"/>
                <w:kern w:val="0"/>
                <w:szCs w:val="21"/>
                <w:lang w:eastAsia="en-US"/>
              </w:rPr>
            </w:pPr>
            <w:r>
              <w:rPr>
                <w:rFonts w:ascii="宋体" w:hAnsi="宋体" w:eastAsia="宋体" w:cs="Times New Roman"/>
                <w:kern w:val="0"/>
                <w:szCs w:val="21"/>
                <w:lang w:eastAsia="en-US"/>
              </w:rPr>
              <w:t>GB/T 3098.1—2010</w:t>
            </w:r>
          </w:p>
        </w:tc>
        <w:tc>
          <w:tcPr>
            <w:tcW w:w="2353" w:type="dxa"/>
            <w:vAlign w:val="center"/>
          </w:tcPr>
          <w:p w14:paraId="290A8812">
            <w:pPr>
              <w:spacing w:line="360" w:lineRule="auto"/>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否</w:t>
            </w:r>
          </w:p>
        </w:tc>
      </w:tr>
      <w:tr w14:paraId="3C86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0" w:type="dxa"/>
            <w:vAlign w:val="center"/>
          </w:tcPr>
          <w:p w14:paraId="077C432D">
            <w:pPr>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 xml:space="preserve">3 </w:t>
            </w:r>
          </w:p>
        </w:tc>
        <w:tc>
          <w:tcPr>
            <w:tcW w:w="1600" w:type="dxa"/>
            <w:vAlign w:val="center"/>
          </w:tcPr>
          <w:p w14:paraId="4D06D69A">
            <w:pPr>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化学成分</w:t>
            </w:r>
          </w:p>
        </w:tc>
        <w:tc>
          <w:tcPr>
            <w:tcW w:w="2126" w:type="dxa"/>
            <w:vAlign w:val="center"/>
          </w:tcPr>
          <w:p w14:paraId="0252DE6D">
            <w:pPr>
              <w:snapToGrid w:val="0"/>
              <w:spacing w:line="360" w:lineRule="auto"/>
              <w:jc w:val="center"/>
              <w:rPr>
                <w:rFonts w:ascii="宋体" w:hAnsi="宋体" w:eastAsia="宋体" w:cs="Times New Roman"/>
                <w:kern w:val="0"/>
                <w:szCs w:val="21"/>
                <w:lang w:eastAsia="en-US"/>
              </w:rPr>
            </w:pPr>
            <w:r>
              <w:rPr>
                <w:rFonts w:ascii="宋体" w:hAnsi="宋体" w:eastAsia="宋体" w:cs="Times New Roman"/>
                <w:kern w:val="0"/>
                <w:szCs w:val="21"/>
                <w:lang w:eastAsia="en-US"/>
              </w:rPr>
              <w:t>GB/T 3098.1—2010</w:t>
            </w:r>
          </w:p>
        </w:tc>
        <w:tc>
          <w:tcPr>
            <w:tcW w:w="2410" w:type="dxa"/>
            <w:vAlign w:val="center"/>
          </w:tcPr>
          <w:p w14:paraId="6EDF472C">
            <w:pPr>
              <w:snapToGrid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GB/T 4336-2016</w:t>
            </w:r>
          </w:p>
        </w:tc>
        <w:tc>
          <w:tcPr>
            <w:tcW w:w="2353" w:type="dxa"/>
            <w:vAlign w:val="center"/>
          </w:tcPr>
          <w:p w14:paraId="5ECC1928">
            <w:pPr>
              <w:spacing w:line="360" w:lineRule="auto"/>
              <w:jc w:val="center"/>
              <w:rPr>
                <w:rFonts w:ascii="宋体" w:hAnsi="宋体" w:eastAsia="宋体" w:cs="Times New Roman"/>
                <w:kern w:val="0"/>
                <w:szCs w:val="21"/>
              </w:rPr>
            </w:pPr>
            <w:r>
              <w:rPr>
                <w:rFonts w:ascii="宋体" w:hAnsi="宋体" w:eastAsia="宋体" w:cs="Times New Roman"/>
                <w:kern w:val="0"/>
                <w:szCs w:val="21"/>
              </w:rPr>
              <w:t>否</w:t>
            </w:r>
          </w:p>
        </w:tc>
      </w:tr>
      <w:tr w14:paraId="0D9E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0" w:type="dxa"/>
            <w:vAlign w:val="center"/>
          </w:tcPr>
          <w:p w14:paraId="0EA68BB6">
            <w:pPr>
              <w:spacing w:line="360" w:lineRule="auto"/>
              <w:jc w:val="center"/>
              <w:rPr>
                <w:rFonts w:hint="eastAsia" w:ascii="宋体" w:hAnsi="宋体" w:eastAsia="宋体" w:cs="Times New Roman"/>
                <w:kern w:val="0"/>
                <w:szCs w:val="21"/>
              </w:rPr>
            </w:pPr>
            <w:r>
              <w:rPr>
                <w:rFonts w:hint="eastAsia" w:ascii="宋体" w:hAnsi="宋体" w:eastAsia="宋体" w:cs="Times New Roman"/>
                <w:kern w:val="0"/>
                <w:szCs w:val="21"/>
              </w:rPr>
              <w:t>4</w:t>
            </w:r>
          </w:p>
        </w:tc>
        <w:tc>
          <w:tcPr>
            <w:tcW w:w="1600" w:type="dxa"/>
            <w:vAlign w:val="center"/>
          </w:tcPr>
          <w:p w14:paraId="10722F1A">
            <w:pPr>
              <w:spacing w:line="360" w:lineRule="auto"/>
              <w:jc w:val="center"/>
              <w:rPr>
                <w:rFonts w:hint="eastAsia" w:ascii="宋体" w:hAnsi="宋体" w:eastAsia="宋体" w:cs="Times New Roman"/>
                <w:kern w:val="0"/>
                <w:szCs w:val="21"/>
              </w:rPr>
            </w:pPr>
            <w:r>
              <w:rPr>
                <w:rFonts w:hint="eastAsia" w:ascii="宋体" w:hAnsi="宋体" w:eastAsia="宋体" w:cs="Times New Roman"/>
                <w:kern w:val="0"/>
                <w:szCs w:val="21"/>
              </w:rPr>
              <w:t>最小拉力载荷</w:t>
            </w:r>
          </w:p>
        </w:tc>
        <w:tc>
          <w:tcPr>
            <w:tcW w:w="2126" w:type="dxa"/>
          </w:tcPr>
          <w:p w14:paraId="4BBE74E6">
            <w:pPr>
              <w:snapToGrid w:val="0"/>
              <w:spacing w:line="360" w:lineRule="auto"/>
              <w:jc w:val="center"/>
              <w:rPr>
                <w:rFonts w:ascii="宋体" w:hAnsi="宋体" w:eastAsia="宋体" w:cs="Times New Roman"/>
                <w:kern w:val="0"/>
                <w:szCs w:val="21"/>
                <w:lang w:eastAsia="en-US"/>
              </w:rPr>
            </w:pPr>
            <w:r>
              <w:rPr>
                <w:rFonts w:ascii="宋体" w:hAnsi="宋体" w:eastAsia="宋体" w:cs="Times New Roman"/>
                <w:kern w:val="0"/>
                <w:szCs w:val="21"/>
                <w:lang w:eastAsia="en-US"/>
              </w:rPr>
              <w:t>GB/T 3098.1—2010</w:t>
            </w:r>
          </w:p>
        </w:tc>
        <w:tc>
          <w:tcPr>
            <w:tcW w:w="2410" w:type="dxa"/>
            <w:vAlign w:val="center"/>
          </w:tcPr>
          <w:p w14:paraId="6000DC45">
            <w:pPr>
              <w:snapToGrid w:val="0"/>
              <w:spacing w:line="360" w:lineRule="auto"/>
              <w:rPr>
                <w:rFonts w:hint="eastAsia" w:ascii="宋体" w:hAnsi="宋体" w:eastAsia="宋体" w:cs="Times New Roman"/>
                <w:kern w:val="0"/>
                <w:szCs w:val="21"/>
              </w:rPr>
            </w:pPr>
            <w:r>
              <w:rPr>
                <w:rFonts w:ascii="宋体" w:hAnsi="宋体" w:eastAsia="宋体" w:cs="Times New Roman"/>
                <w:kern w:val="0"/>
                <w:szCs w:val="21"/>
              </w:rPr>
              <w:t>GB/T 3098.1—2010</w:t>
            </w:r>
            <w:r>
              <w:rPr>
                <w:rFonts w:hint="eastAsia" w:ascii="宋体" w:hAnsi="宋体" w:eastAsia="宋体" w:cs="Times New Roman"/>
                <w:kern w:val="0"/>
                <w:szCs w:val="21"/>
              </w:rPr>
              <w:t>/9.1</w:t>
            </w:r>
          </w:p>
        </w:tc>
        <w:tc>
          <w:tcPr>
            <w:tcW w:w="2353" w:type="dxa"/>
          </w:tcPr>
          <w:p w14:paraId="1B633C80">
            <w:pPr>
              <w:spacing w:line="360" w:lineRule="auto"/>
              <w:jc w:val="center"/>
              <w:rPr>
                <w:rFonts w:ascii="宋体" w:hAnsi="宋体" w:eastAsia="宋体" w:cs="Times New Roman"/>
                <w:kern w:val="0"/>
                <w:szCs w:val="21"/>
              </w:rPr>
            </w:pPr>
            <w:r>
              <w:rPr>
                <w:rFonts w:hint="eastAsia" w:ascii="Calibri" w:hAnsi="Calibri" w:eastAsia="宋体" w:cs="Times New Roman"/>
                <w:kern w:val="0"/>
                <w:szCs w:val="21"/>
                <w:lang w:eastAsia="en-US"/>
              </w:rPr>
              <w:t>否</w:t>
            </w:r>
          </w:p>
        </w:tc>
      </w:tr>
      <w:tr w14:paraId="0D69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0" w:type="dxa"/>
            <w:vAlign w:val="center"/>
          </w:tcPr>
          <w:p w14:paraId="3040059E">
            <w:pPr>
              <w:spacing w:line="360" w:lineRule="auto"/>
              <w:jc w:val="center"/>
              <w:rPr>
                <w:rFonts w:hint="eastAsia" w:ascii="宋体" w:hAnsi="宋体" w:eastAsia="宋体" w:cs="Times New Roman"/>
                <w:kern w:val="0"/>
                <w:szCs w:val="21"/>
              </w:rPr>
            </w:pPr>
            <w:r>
              <w:rPr>
                <w:rFonts w:hint="eastAsia" w:ascii="宋体" w:hAnsi="宋体" w:eastAsia="宋体" w:cs="Times New Roman"/>
                <w:kern w:val="0"/>
                <w:szCs w:val="21"/>
              </w:rPr>
              <w:t>5</w:t>
            </w:r>
          </w:p>
        </w:tc>
        <w:tc>
          <w:tcPr>
            <w:tcW w:w="1600" w:type="dxa"/>
            <w:vAlign w:val="center"/>
          </w:tcPr>
          <w:p w14:paraId="219B911E">
            <w:pPr>
              <w:spacing w:line="360" w:lineRule="auto"/>
              <w:jc w:val="center"/>
              <w:rPr>
                <w:rFonts w:hint="eastAsia" w:ascii="宋体" w:hAnsi="宋体" w:eastAsia="宋体" w:cs="Times New Roman"/>
                <w:kern w:val="0"/>
                <w:szCs w:val="21"/>
              </w:rPr>
            </w:pPr>
            <w:r>
              <w:rPr>
                <w:rFonts w:hint="eastAsia" w:ascii="宋体" w:hAnsi="宋体" w:eastAsia="宋体" w:cs="Times New Roman"/>
                <w:kern w:val="0"/>
                <w:szCs w:val="21"/>
              </w:rPr>
              <w:t>楔负载</w:t>
            </w:r>
          </w:p>
        </w:tc>
        <w:tc>
          <w:tcPr>
            <w:tcW w:w="2126" w:type="dxa"/>
          </w:tcPr>
          <w:p w14:paraId="72668C5F">
            <w:pPr>
              <w:snapToGrid w:val="0"/>
              <w:spacing w:line="360" w:lineRule="auto"/>
              <w:jc w:val="center"/>
              <w:rPr>
                <w:rFonts w:ascii="宋体" w:hAnsi="宋体" w:eastAsia="宋体" w:cs="Times New Roman"/>
                <w:kern w:val="0"/>
                <w:szCs w:val="21"/>
                <w:lang w:eastAsia="en-US"/>
              </w:rPr>
            </w:pPr>
            <w:r>
              <w:rPr>
                <w:rFonts w:ascii="宋体" w:hAnsi="宋体" w:eastAsia="宋体" w:cs="Times New Roman"/>
                <w:kern w:val="0"/>
                <w:szCs w:val="21"/>
                <w:lang w:eastAsia="en-US"/>
              </w:rPr>
              <w:t>GB/T 3098.1—2010</w:t>
            </w:r>
          </w:p>
        </w:tc>
        <w:tc>
          <w:tcPr>
            <w:tcW w:w="2410" w:type="dxa"/>
            <w:vAlign w:val="center"/>
          </w:tcPr>
          <w:p w14:paraId="13C14B3E">
            <w:pPr>
              <w:snapToGrid w:val="0"/>
              <w:spacing w:line="360" w:lineRule="auto"/>
              <w:jc w:val="center"/>
              <w:rPr>
                <w:rFonts w:hint="eastAsia" w:ascii="宋体" w:hAnsi="宋体" w:eastAsia="宋体" w:cs="Times New Roman"/>
                <w:kern w:val="0"/>
                <w:szCs w:val="21"/>
              </w:rPr>
            </w:pPr>
            <w:r>
              <w:rPr>
                <w:rFonts w:ascii="宋体" w:hAnsi="宋体" w:eastAsia="宋体" w:cs="Times New Roman"/>
                <w:kern w:val="0"/>
                <w:szCs w:val="21"/>
              </w:rPr>
              <w:t>GB/T 3098.1—2010</w:t>
            </w:r>
            <w:r>
              <w:rPr>
                <w:rFonts w:hint="eastAsia" w:ascii="宋体" w:hAnsi="宋体" w:eastAsia="宋体" w:cs="Times New Roman"/>
                <w:kern w:val="0"/>
                <w:szCs w:val="21"/>
              </w:rPr>
              <w:t>/9.9</w:t>
            </w:r>
          </w:p>
        </w:tc>
        <w:tc>
          <w:tcPr>
            <w:tcW w:w="2353" w:type="dxa"/>
          </w:tcPr>
          <w:p w14:paraId="2AFABE79">
            <w:pPr>
              <w:spacing w:line="360" w:lineRule="auto"/>
              <w:jc w:val="center"/>
              <w:rPr>
                <w:rFonts w:ascii="宋体" w:hAnsi="宋体" w:eastAsia="宋体" w:cs="Times New Roman"/>
                <w:kern w:val="0"/>
                <w:szCs w:val="21"/>
              </w:rPr>
            </w:pPr>
            <w:r>
              <w:rPr>
                <w:rFonts w:hint="eastAsia" w:ascii="Calibri" w:hAnsi="Calibri" w:eastAsia="宋体" w:cs="Times New Roman"/>
                <w:kern w:val="0"/>
                <w:szCs w:val="21"/>
                <w:lang w:eastAsia="en-US"/>
              </w:rPr>
              <w:t>否</w:t>
            </w:r>
          </w:p>
        </w:tc>
      </w:tr>
      <w:tr w14:paraId="7214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70" w:type="dxa"/>
            <w:vAlign w:val="center"/>
          </w:tcPr>
          <w:p w14:paraId="205F6E9E">
            <w:pPr>
              <w:spacing w:line="360" w:lineRule="auto"/>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备注</w:t>
            </w:r>
          </w:p>
        </w:tc>
        <w:tc>
          <w:tcPr>
            <w:tcW w:w="8489" w:type="dxa"/>
            <w:gridSpan w:val="4"/>
            <w:vAlign w:val="center"/>
          </w:tcPr>
          <w:p w14:paraId="51901C42">
            <w:pPr>
              <w:snapToGrid w:val="0"/>
              <w:spacing w:line="360" w:lineRule="auto"/>
              <w:jc w:val="left"/>
              <w:rPr>
                <w:rFonts w:ascii="宋体" w:hAnsi="宋体" w:eastAsia="宋体" w:cs="Times New Roman"/>
                <w:kern w:val="0"/>
                <w:szCs w:val="21"/>
              </w:rPr>
            </w:pPr>
          </w:p>
        </w:tc>
      </w:tr>
    </w:tbl>
    <w:p w14:paraId="1D3254E3">
      <w:pPr>
        <w:spacing w:line="360" w:lineRule="auto"/>
        <w:rPr>
          <w:rFonts w:hint="eastAsia" w:asciiTheme="minorEastAsia" w:hAnsiTheme="minorEastAsia"/>
          <w:sz w:val="24"/>
        </w:rPr>
      </w:pPr>
      <w:r>
        <w:rPr>
          <w:rFonts w:hint="eastAsia" w:asciiTheme="minorEastAsia" w:hAnsiTheme="minorEastAsia"/>
          <w:sz w:val="24"/>
        </w:rPr>
        <w:t>6、判定原则：</w:t>
      </w:r>
    </w:p>
    <w:p w14:paraId="21662BAA">
      <w:pPr>
        <w:spacing w:line="360" w:lineRule="auto"/>
        <w:rPr>
          <w:rFonts w:hint="eastAsia" w:asciiTheme="minorEastAsia" w:hAnsiTheme="minorEastAsia"/>
          <w:sz w:val="24"/>
        </w:rPr>
      </w:pPr>
      <w:r>
        <w:rPr>
          <w:rFonts w:hint="eastAsia" w:asciiTheme="minorEastAsia" w:hAnsiTheme="minorEastAsia"/>
          <w:sz w:val="24"/>
        </w:rPr>
        <w:t>（1）经检验，检验项目全部合格，判定为被抽查产品合格；检验项目中任一项或一项以上不合格，判定为被抽查产品不合格。</w:t>
      </w:r>
    </w:p>
    <w:p w14:paraId="3D73C050">
      <w:pPr>
        <w:spacing w:line="360" w:lineRule="auto"/>
        <w:rPr>
          <w:rFonts w:hint="eastAsia" w:asciiTheme="minorEastAsia" w:hAnsiTheme="minorEastAsia"/>
          <w:sz w:val="24"/>
        </w:rPr>
      </w:pPr>
      <w:r>
        <w:rPr>
          <w:rFonts w:hint="eastAsia" w:asciiTheme="minorEastAsia" w:hAnsiTheme="minorEastAsia"/>
          <w:sz w:val="24"/>
        </w:rPr>
        <w:t>若被检产品明示的质量要求高于本细则中检验项目依据的标准要求时，应按被检产品明示的质量要求判定。</w:t>
      </w:r>
    </w:p>
    <w:p w14:paraId="67D50D9E">
      <w:pPr>
        <w:spacing w:line="360" w:lineRule="auto"/>
        <w:rPr>
          <w:rFonts w:hint="eastAsia" w:asciiTheme="minorEastAsia" w:hAnsiTheme="minorEastAsia"/>
          <w:sz w:val="24"/>
        </w:rPr>
      </w:pPr>
      <w:r>
        <w:rPr>
          <w:rFonts w:hint="eastAsia" w:asciiTheme="minorEastAsia" w:hAnsiTheme="minorEastAsia"/>
          <w:sz w:val="24"/>
        </w:rPr>
        <w:t>（2）若被检产品明示的质量要求低于本细则中检验项目依据的推荐性标准要求时，应按照推荐性标准要求判定。</w:t>
      </w:r>
    </w:p>
    <w:p w14:paraId="6FC5416F">
      <w:pPr>
        <w:spacing w:line="360" w:lineRule="auto"/>
        <w:rPr>
          <w:rFonts w:hint="eastAsia" w:asciiTheme="minorEastAsia" w:hAnsiTheme="minorEastAsia"/>
          <w:sz w:val="24"/>
        </w:rPr>
      </w:pPr>
      <w:r>
        <w:rPr>
          <w:rFonts w:hint="eastAsia" w:asciiTheme="minorEastAsia" w:hAnsiTheme="minorEastAsia"/>
          <w:sz w:val="24"/>
        </w:rPr>
        <w:t>（3）若被检产品明示的质量要求低于或包含细则中检验项目依据的推荐性标准要求时，应以被检产品明示的质量要求判定，但应在检验报告备注中进行说明。</w:t>
      </w:r>
    </w:p>
    <w:p w14:paraId="5B9E8230">
      <w:pPr>
        <w:spacing w:line="360" w:lineRule="auto"/>
        <w:rPr>
          <w:rFonts w:asciiTheme="minorEastAsia" w:hAnsiTheme="minorEastAsia"/>
          <w:sz w:val="24"/>
        </w:rPr>
      </w:pPr>
      <w:r>
        <w:rPr>
          <w:rFonts w:hint="eastAsia" w:asciiTheme="minorEastAsia" w:hAnsiTheme="minorEastAsia"/>
          <w:sz w:val="24"/>
        </w:rPr>
        <w:t>（4）若被检产品明示的质量要求缺少本细则中检验项目依据的推荐性标准要求时，该项目不参与判定，但应在检验报告备注中进行说明。</w:t>
      </w:r>
    </w:p>
    <w:p w14:paraId="38F80E2B">
      <w:pPr>
        <w:spacing w:line="360" w:lineRule="auto"/>
        <w:rPr>
          <w:rFonts w:hint="eastAsia" w:asciiTheme="minorEastAsia" w:hAnsiTheme="minorEastAsia"/>
          <w:sz w:val="24"/>
        </w:rPr>
      </w:pPr>
      <w:r>
        <w:rPr>
          <w:rFonts w:hint="eastAsia" w:asciiTheme="minorEastAsia" w:hAnsiTheme="minorEastAsia"/>
          <w:sz w:val="24"/>
        </w:rPr>
        <w:t>7、异议处理</w:t>
      </w:r>
    </w:p>
    <w:p w14:paraId="642E7A9B">
      <w:pPr>
        <w:spacing w:line="360" w:lineRule="auto"/>
        <w:rPr>
          <w:rFonts w:hint="eastAsia" w:asciiTheme="minorEastAsia" w:hAnsiTheme="minorEastAsia"/>
          <w:sz w:val="24"/>
        </w:rPr>
      </w:pPr>
      <w:r>
        <w:rPr>
          <w:rFonts w:hint="eastAsia" w:asciiTheme="minorEastAsia" w:hAnsiTheme="minorEastAsia"/>
          <w:sz w:val="24"/>
        </w:rPr>
        <w:t>（1）对监督抽查程序有异议的，由任务下达部门核查相关证据后维持或者撤销原检验结果。</w:t>
      </w:r>
    </w:p>
    <w:p w14:paraId="4A975B1D">
      <w:pPr>
        <w:spacing w:line="360" w:lineRule="auto"/>
        <w:rPr>
          <w:rFonts w:hint="eastAsia" w:asciiTheme="minorEastAsia" w:hAnsiTheme="minorEastAsia"/>
          <w:sz w:val="24"/>
        </w:rPr>
      </w:pPr>
      <w:r>
        <w:rPr>
          <w:rFonts w:hint="eastAsia" w:asciiTheme="minorEastAsia" w:hAnsiTheme="minorEastAsia"/>
          <w:sz w:val="24"/>
        </w:rPr>
        <w:t>（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14:paraId="3B22743E">
      <w:pPr>
        <w:spacing w:line="360" w:lineRule="auto"/>
        <w:rPr>
          <w:rFonts w:hint="eastAsia" w:asciiTheme="minorEastAsia" w:hAnsiTheme="minorEastAsia"/>
          <w:sz w:val="24"/>
        </w:rPr>
      </w:pPr>
      <w:r>
        <w:rPr>
          <w:rFonts w:hint="eastAsia" w:asciiTheme="minorEastAsia" w:hAnsiTheme="minorEastAsia"/>
          <w:sz w:val="24"/>
        </w:rPr>
        <w:t>（3）对样品信息有异议的，任务下达部门核查样品确认情况和生产企业提交证明材料后，维持或者撤销原检验结果。</w:t>
      </w:r>
    </w:p>
    <w:sectPr>
      <w:pgSz w:w="11906" w:h="16838"/>
      <w:pgMar w:top="1361" w:right="1191"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Mzg0OWI5YzcxM2FiM2VhMWJkZTNhMjhmM2RmNDAifQ=="/>
  </w:docVars>
  <w:rsids>
    <w:rsidRoot w:val="015C1DCC"/>
    <w:rsid w:val="000D51B5"/>
    <w:rsid w:val="001A38FB"/>
    <w:rsid w:val="001F2A9C"/>
    <w:rsid w:val="002739F9"/>
    <w:rsid w:val="002F4015"/>
    <w:rsid w:val="00307134"/>
    <w:rsid w:val="00477F4B"/>
    <w:rsid w:val="004B254A"/>
    <w:rsid w:val="005548DD"/>
    <w:rsid w:val="00632FB7"/>
    <w:rsid w:val="006E34C4"/>
    <w:rsid w:val="00945D91"/>
    <w:rsid w:val="0099775B"/>
    <w:rsid w:val="009D2D95"/>
    <w:rsid w:val="00CD1E93"/>
    <w:rsid w:val="00D25471"/>
    <w:rsid w:val="00DC46CE"/>
    <w:rsid w:val="00E9768C"/>
    <w:rsid w:val="00EB5C49"/>
    <w:rsid w:val="00ED20A6"/>
    <w:rsid w:val="00FB172A"/>
    <w:rsid w:val="015C1DCC"/>
    <w:rsid w:val="28AD1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550"/>
    </w:pPr>
    <w:rPr>
      <w:rFonts w:ascii="宋体" w:hAnsi="宋体" w:eastAsia="宋体"/>
      <w:sz w:val="20"/>
      <w:szCs w:val="20"/>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1213</Words>
  <Characters>1370</Characters>
  <Lines>10</Lines>
  <Paragraphs>2</Paragraphs>
  <TotalTime>187</TotalTime>
  <ScaleCrop>false</ScaleCrop>
  <LinksUpToDate>false</LinksUpToDate>
  <CharactersWithSpaces>1391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2025-01-09T03:20:00Z</dcterms:created>
  <dc:creator>菠萝派</dc:creator>
  <cp:lastModifiedBy>189----7681</cp:lastModifiedBy>
  <dcterms:modified xsi:type="dcterms:W3CDTF">2025-01-23T01:24:57Z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187DF67A6955402EA021BB2AFA711CA6_11</vt:lpwstr>
  </property>
  <property fmtid="{D5CDD505-2E9C-101B-9397-08002B2CF9AE}" pid="4" name="KSOTemplateDocerSaveRecord">
    <vt:lpwstr>eyJoZGlkIjoiOGQ2NTdkNDJhYTIzZWJiYjI4ZTA5NGRjZDczZDNiYTIiLCJ1c2VySWQiOiIxNTg0MDE2MTE3In0=</vt:lpwstr>
  </property>
</Properties>
</file>