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A20EA">
      <w:pPr>
        <w:spacing w:line="360" w:lineRule="auto"/>
        <w:jc w:val="center"/>
        <w:rPr>
          <w:rFonts w:asciiTheme="minorEastAsia" w:hAnsiTheme="minorEastAsia"/>
          <w:sz w:val="28"/>
          <w:szCs w:val="28"/>
        </w:rPr>
      </w:pPr>
      <w:r>
        <w:rPr>
          <w:rFonts w:hint="eastAsia" w:asciiTheme="minorEastAsia" w:hAnsiTheme="minorEastAsia"/>
          <w:sz w:val="28"/>
          <w:szCs w:val="28"/>
        </w:rPr>
        <w:t>连云港市</w:t>
      </w:r>
      <w:r>
        <w:rPr>
          <w:rFonts w:hint="eastAsia" w:asciiTheme="minorEastAsia" w:hAnsiTheme="minorEastAsia"/>
          <w:sz w:val="28"/>
          <w:szCs w:val="28"/>
          <w:lang w:eastAsia="zh-CN"/>
        </w:rPr>
        <w:t>海州区塑料管材</w:t>
      </w:r>
      <w:r>
        <w:rPr>
          <w:rFonts w:hint="eastAsia" w:asciiTheme="minorEastAsia" w:hAnsiTheme="minorEastAsia"/>
          <w:sz w:val="28"/>
          <w:szCs w:val="28"/>
        </w:rPr>
        <w:t>产品质量</w:t>
      </w:r>
      <w:r>
        <w:rPr>
          <w:rFonts w:hint="eastAsia" w:asciiTheme="minorEastAsia" w:hAnsiTheme="minorEastAsia"/>
          <w:sz w:val="28"/>
          <w:szCs w:val="28"/>
          <w:lang w:val="en-US" w:eastAsia="zh-CN"/>
        </w:rPr>
        <w:t>区</w:t>
      </w:r>
      <w:r>
        <w:rPr>
          <w:rFonts w:hint="eastAsia" w:asciiTheme="minorEastAsia" w:hAnsiTheme="minorEastAsia"/>
          <w:sz w:val="28"/>
          <w:szCs w:val="28"/>
        </w:rPr>
        <w:t>级监督抽查实施细则</w:t>
      </w:r>
    </w:p>
    <w:p w14:paraId="496703D8">
      <w:pPr>
        <w:spacing w:line="360" w:lineRule="auto"/>
        <w:rPr>
          <w:rFonts w:asciiTheme="minorEastAsia" w:hAnsiTheme="minorEastAsia"/>
          <w:sz w:val="28"/>
          <w:szCs w:val="28"/>
        </w:rPr>
      </w:pPr>
      <w:r>
        <w:rPr>
          <w:rFonts w:hint="eastAsia" w:asciiTheme="minorEastAsia" w:hAnsiTheme="minorEastAsia"/>
          <w:sz w:val="28"/>
          <w:szCs w:val="28"/>
        </w:rPr>
        <w:t>1.范围</w:t>
      </w:r>
    </w:p>
    <w:p w14:paraId="3BD59674">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本细则适用于</w:t>
      </w:r>
      <w:r>
        <w:rPr>
          <w:rFonts w:hint="eastAsia" w:asciiTheme="minorEastAsia" w:hAnsiTheme="minorEastAsia"/>
          <w:sz w:val="28"/>
          <w:szCs w:val="28"/>
          <w:lang w:eastAsia="zh-CN"/>
        </w:rPr>
        <w:t>海州区</w:t>
      </w:r>
      <w:r>
        <w:rPr>
          <w:rFonts w:hint="eastAsia" w:asciiTheme="minorEastAsia" w:hAnsiTheme="minorEastAsia"/>
          <w:sz w:val="28"/>
          <w:szCs w:val="28"/>
        </w:rPr>
        <w:t>市场监督管理局组织实施的</w:t>
      </w:r>
      <w:r>
        <w:rPr>
          <w:rFonts w:hint="eastAsia" w:asciiTheme="minorEastAsia" w:hAnsiTheme="minorEastAsia"/>
          <w:sz w:val="28"/>
          <w:szCs w:val="28"/>
          <w:lang w:val="en-US" w:eastAsia="zh-CN"/>
        </w:rPr>
        <w:t>塑料管材</w:t>
      </w:r>
      <w:r>
        <w:rPr>
          <w:rFonts w:hint="eastAsia" w:asciiTheme="minorEastAsia" w:hAnsiTheme="minorEastAsia"/>
          <w:sz w:val="28"/>
          <w:szCs w:val="28"/>
        </w:rPr>
        <w:t>产品质量流通领域的监督抽查。</w:t>
      </w:r>
    </w:p>
    <w:p w14:paraId="1D3A7CC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本细则内容包括产品类别、检验依据、抽样、样品确认、检验要求、判定原则、检验结果确认、异议处理。</w:t>
      </w:r>
    </w:p>
    <w:p w14:paraId="5D8F670C">
      <w:pPr>
        <w:spacing w:line="360" w:lineRule="auto"/>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产品类别</w:t>
      </w:r>
    </w:p>
    <w:p w14:paraId="78E9D05F">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rPr>
        <w:t>本细则中</w:t>
      </w:r>
      <w:r>
        <w:rPr>
          <w:rFonts w:hint="eastAsia" w:asciiTheme="minorEastAsia" w:hAnsiTheme="minorEastAsia"/>
          <w:sz w:val="28"/>
          <w:szCs w:val="28"/>
          <w:lang w:val="en-US"/>
        </w:rPr>
        <w:t>抽查产品范围</w:t>
      </w:r>
      <w:r>
        <w:rPr>
          <w:rFonts w:hint="eastAsia" w:asciiTheme="minorEastAsia" w:hAnsiTheme="minorEastAsia"/>
          <w:sz w:val="28"/>
          <w:szCs w:val="28"/>
          <w:lang w:val="en-US" w:eastAsia="zh-CN"/>
        </w:rPr>
        <w:t>分别</w:t>
      </w:r>
      <w:r>
        <w:rPr>
          <w:rFonts w:hint="eastAsia" w:asciiTheme="minorEastAsia" w:hAnsiTheme="minorEastAsia"/>
          <w:sz w:val="28"/>
          <w:szCs w:val="28"/>
          <w:lang w:val="en-US"/>
        </w:rPr>
        <w:t>为以硬聚氯乙烯树脂为主要原料，经挤出成型的用于给水和建筑物内排水的管材</w:t>
      </w:r>
      <w:r>
        <w:rPr>
          <w:rFonts w:hint="eastAsia" w:asciiTheme="minorEastAsia" w:hAnsiTheme="minorEastAsia"/>
          <w:sz w:val="28"/>
          <w:szCs w:val="28"/>
          <w:lang w:val="en-US" w:eastAsia="zh-CN"/>
        </w:rPr>
        <w:t>，</w:t>
      </w:r>
      <w:r>
        <w:rPr>
          <w:rFonts w:hint="eastAsia" w:asciiTheme="minorEastAsia" w:hAnsiTheme="minorEastAsia"/>
          <w:sz w:val="28"/>
          <w:szCs w:val="28"/>
          <w:lang w:val="en-US"/>
        </w:rPr>
        <w:t>简称: PVC-U排水管材</w:t>
      </w:r>
      <w:r>
        <w:rPr>
          <w:rFonts w:hint="eastAsia" w:asciiTheme="minorEastAsia" w:hAnsiTheme="minorEastAsia"/>
          <w:sz w:val="28"/>
          <w:szCs w:val="28"/>
          <w:lang w:val="en-US" w:eastAsia="zh-CN"/>
        </w:rPr>
        <w:t>；</w:t>
      </w:r>
      <w:r>
        <w:rPr>
          <w:rFonts w:hint="eastAsia" w:asciiTheme="minorEastAsia" w:hAnsiTheme="minorEastAsia"/>
          <w:sz w:val="28"/>
          <w:szCs w:val="28"/>
          <w:lang w:val="en-US"/>
        </w:rPr>
        <w:t>以聚乙烯树脂为主要原料，经挤出成型的给水用埋地塑料管材</w:t>
      </w:r>
      <w:r>
        <w:rPr>
          <w:rFonts w:hint="eastAsia" w:asciiTheme="minorEastAsia" w:hAnsiTheme="minorEastAsia"/>
          <w:sz w:val="28"/>
          <w:szCs w:val="28"/>
          <w:lang w:val="en-US" w:eastAsia="zh-CN"/>
        </w:rPr>
        <w:t>，</w:t>
      </w:r>
      <w:r>
        <w:rPr>
          <w:rFonts w:hint="eastAsia" w:asciiTheme="minorEastAsia" w:hAnsiTheme="minorEastAsia"/>
          <w:sz w:val="28"/>
          <w:szCs w:val="28"/>
          <w:lang w:val="en-US"/>
        </w:rPr>
        <w:t>简称PE管材</w:t>
      </w:r>
      <w:r>
        <w:rPr>
          <w:rFonts w:hint="eastAsia" w:asciiTheme="minorEastAsia" w:hAnsiTheme="minorEastAsia"/>
          <w:sz w:val="28"/>
          <w:szCs w:val="28"/>
          <w:lang w:val="en-US" w:eastAsia="zh-CN"/>
        </w:rPr>
        <w:t>；</w:t>
      </w:r>
      <w:r>
        <w:rPr>
          <w:rFonts w:hint="eastAsia" w:asciiTheme="minorEastAsia" w:hAnsiTheme="minorEastAsia"/>
          <w:sz w:val="28"/>
          <w:szCs w:val="28"/>
          <w:lang w:val="en-US"/>
        </w:rPr>
        <w:t>以无规共聚聚丙烯树脂为主要原料，经挤出成型的用于建筑物内冷热水、饮用水和采暖系统的管材</w:t>
      </w:r>
      <w:r>
        <w:rPr>
          <w:rFonts w:hint="eastAsia" w:asciiTheme="minorEastAsia" w:hAnsiTheme="minorEastAsia"/>
          <w:sz w:val="28"/>
          <w:szCs w:val="28"/>
          <w:lang w:val="en-US" w:eastAsia="zh-CN"/>
        </w:rPr>
        <w:t>，</w:t>
      </w:r>
      <w:r>
        <w:rPr>
          <w:rFonts w:hint="eastAsia" w:asciiTheme="minorEastAsia" w:hAnsiTheme="minorEastAsia"/>
          <w:sz w:val="28"/>
          <w:szCs w:val="28"/>
          <w:lang w:val="en-US"/>
        </w:rPr>
        <w:t>简称PPR管材</w:t>
      </w:r>
    </w:p>
    <w:p w14:paraId="553AA9E8">
      <w:pPr>
        <w:numPr>
          <w:ilvl w:val="0"/>
          <w:numId w:val="2"/>
        </w:numPr>
        <w:spacing w:line="360" w:lineRule="auto"/>
        <w:rPr>
          <w:rFonts w:hint="eastAsia" w:asciiTheme="minorEastAsia" w:hAnsiTheme="minorEastAsia"/>
          <w:sz w:val="28"/>
          <w:szCs w:val="28"/>
        </w:rPr>
      </w:pPr>
      <w:r>
        <w:rPr>
          <w:rFonts w:hint="eastAsia" w:asciiTheme="minorEastAsia" w:hAnsiTheme="minorEastAsia"/>
          <w:sz w:val="28"/>
          <w:szCs w:val="28"/>
        </w:rPr>
        <w:t>检验依据</w:t>
      </w:r>
    </w:p>
    <w:p w14:paraId="10CBA06B">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CCGF 412.1-2015《无规共聚聚丙烯（PP-R）管材及管件产品质量监督抽查实施规范》</w:t>
      </w:r>
    </w:p>
    <w:p w14:paraId="2E995ECA">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CCGF 412.2-2015《聚乙烯（PE）管材及管件产品质量监督抽查实施规范》</w:t>
      </w:r>
    </w:p>
    <w:p w14:paraId="74091843">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CCGF 412.3-2015《硬聚氯乙烯（PVC-U）管材及管件产品质量监督抽查实施规范》</w:t>
      </w:r>
    </w:p>
    <w:p w14:paraId="2DDC91A7">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 xml:space="preserve">GB/T 18742.2-2017《冷热水用聚丙烯管道系统 第2部分：管材》 </w:t>
      </w:r>
    </w:p>
    <w:p w14:paraId="4CB3208D">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 5836.1-20</w:t>
      </w:r>
      <w:r>
        <w:rPr>
          <w:rFonts w:hint="eastAsia" w:asciiTheme="minorEastAsia" w:hAnsiTheme="minorEastAsia"/>
          <w:sz w:val="28"/>
          <w:szCs w:val="28"/>
          <w:lang w:val="en-US" w:eastAsia="zh-CN"/>
        </w:rPr>
        <w:t>18</w:t>
      </w:r>
      <w:r>
        <w:rPr>
          <w:rFonts w:hint="eastAsia" w:asciiTheme="minorEastAsia" w:hAnsiTheme="minorEastAsia"/>
          <w:sz w:val="28"/>
          <w:szCs w:val="28"/>
          <w:lang w:val="en-US"/>
        </w:rPr>
        <w:t xml:space="preserve"> 《建筑排水用硬聚氯乙烯（PVC-U）管材》</w:t>
      </w:r>
    </w:p>
    <w:p w14:paraId="3EBFFF19">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 13663</w:t>
      </w:r>
      <w:r>
        <w:rPr>
          <w:rFonts w:hint="eastAsia" w:asciiTheme="minorEastAsia" w:hAnsiTheme="minorEastAsia"/>
          <w:sz w:val="28"/>
          <w:szCs w:val="28"/>
          <w:lang w:val="en-US" w:eastAsia="zh-CN"/>
        </w:rPr>
        <w:t>.2</w:t>
      </w:r>
      <w:r>
        <w:rPr>
          <w:rFonts w:hint="eastAsia" w:asciiTheme="minorEastAsia" w:hAnsiTheme="minorEastAsia"/>
          <w:sz w:val="28"/>
          <w:szCs w:val="28"/>
          <w:lang w:val="en-US"/>
        </w:rPr>
        <w:t>-20</w:t>
      </w:r>
      <w:r>
        <w:rPr>
          <w:rFonts w:hint="eastAsia" w:asciiTheme="minorEastAsia" w:hAnsiTheme="minorEastAsia"/>
          <w:sz w:val="28"/>
          <w:szCs w:val="28"/>
          <w:lang w:val="en-US" w:eastAsia="zh-CN"/>
        </w:rPr>
        <w:t>18</w:t>
      </w:r>
      <w:r>
        <w:rPr>
          <w:rFonts w:hint="eastAsia" w:asciiTheme="minorEastAsia" w:hAnsiTheme="minorEastAsia"/>
          <w:sz w:val="28"/>
          <w:szCs w:val="28"/>
          <w:lang w:val="en-US"/>
        </w:rPr>
        <w:t>《给水用聚乙烯（PE）管材》</w:t>
      </w:r>
    </w:p>
    <w:p w14:paraId="7E57B877">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 6111-2003《流体输送用热塑性塑料管材耐内压试验方法》</w:t>
      </w:r>
    </w:p>
    <w:p w14:paraId="04E45495">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 6671-2001《热塑性塑料管材 纵向回缩率的测定》</w:t>
      </w:r>
    </w:p>
    <w:p w14:paraId="3D3C7344">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 18743-2002《流体输送用热塑性塑料管材 简支梁冲击试验方法》</w:t>
      </w:r>
    </w:p>
    <w:p w14:paraId="7D5BEEB4">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 1033.1-2008《非泡沫塑料密度的测定 第1部分:浸渍法、液体比重瓶法和滴定法》</w:t>
      </w:r>
    </w:p>
    <w:p w14:paraId="742193E5">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 8802-2001 《热塑性塑料管材、管件　维卡软化温度的测定》</w:t>
      </w:r>
    </w:p>
    <w:p w14:paraId="13CAC9DC">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 xml:space="preserve"> GB/T 8804.2-2003《热塑性塑料管材 拉伸性能测定 第2部分: 硬聚氯乙烯(PVC-U)、氯化聚氯乙烯(PVC-C)和高抗冲聚氯乙烯(PVC-HI)管材》</w:t>
      </w:r>
    </w:p>
    <w:p w14:paraId="04AF0A0E">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w:t>
      </w:r>
      <w:r>
        <w:rPr>
          <w:rFonts w:hint="eastAsia" w:asciiTheme="minorEastAsia" w:hAnsiTheme="minorEastAsia"/>
          <w:sz w:val="28"/>
          <w:szCs w:val="28"/>
          <w:lang w:val="en-US" w:eastAsia="zh-CN"/>
        </w:rPr>
        <w:t xml:space="preserve"> 8804.3-2003《热塑性塑料管材 拉伸性能测定 第3部分 聚烯烃管材》</w:t>
      </w:r>
    </w:p>
    <w:p w14:paraId="7B73190B">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GB/T 14152-2001 《热塑性塑料管材耐外冲击性能试验方法 时针旋转法》</w:t>
      </w:r>
    </w:p>
    <w:p w14:paraId="3C60E8CF">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经备案现行有效的企业标准及产品明示质量要求</w:t>
      </w:r>
    </w:p>
    <w:p w14:paraId="7D334474">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相关的法律法规、部门规章和规定</w:t>
      </w:r>
    </w:p>
    <w:p w14:paraId="394C2B95">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相关的法律法规、部门规章和规范</w:t>
      </w:r>
    </w:p>
    <w:p w14:paraId="518BABF2">
      <w:pPr>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rPr>
        <w:t>经备案现行有效的企业标准及产品明示质量要求</w:t>
      </w:r>
    </w:p>
    <w:p w14:paraId="16A2B032">
      <w:pPr>
        <w:spacing w:line="360" w:lineRule="auto"/>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 </w:t>
      </w:r>
      <w:r>
        <w:rPr>
          <w:rFonts w:hint="eastAsia" w:asciiTheme="minorEastAsia" w:hAnsiTheme="minorEastAsia"/>
          <w:sz w:val="28"/>
          <w:szCs w:val="28"/>
        </w:rPr>
        <w:t>抽样</w:t>
      </w:r>
    </w:p>
    <w:p w14:paraId="38F53921">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rPr>
        <w:t>本次</w:t>
      </w:r>
      <w:r>
        <w:rPr>
          <w:rFonts w:hint="eastAsia" w:asciiTheme="minorEastAsia" w:hAnsiTheme="minorEastAsia"/>
          <w:sz w:val="28"/>
          <w:szCs w:val="28"/>
          <w:lang w:val="en-US" w:eastAsia="zh-CN"/>
        </w:rPr>
        <w:t>区</w:t>
      </w:r>
      <w:r>
        <w:rPr>
          <w:rFonts w:hint="eastAsia" w:asciiTheme="minorEastAsia" w:hAnsiTheme="minorEastAsia"/>
          <w:sz w:val="28"/>
          <w:szCs w:val="28"/>
          <w:lang w:val="en-US"/>
        </w:rPr>
        <w:t>级监督抽查是在</w:t>
      </w:r>
      <w:r>
        <w:rPr>
          <w:rFonts w:hint="eastAsia" w:asciiTheme="minorEastAsia" w:hAnsiTheme="minorEastAsia"/>
          <w:sz w:val="28"/>
          <w:szCs w:val="28"/>
          <w:lang w:val="en-US" w:eastAsia="zh-CN"/>
        </w:rPr>
        <w:t>流通领域塑料管材实体店内</w:t>
      </w:r>
      <w:r>
        <w:rPr>
          <w:rFonts w:hint="eastAsia" w:asciiTheme="minorEastAsia" w:hAnsiTheme="minorEastAsia"/>
          <w:sz w:val="28"/>
          <w:szCs w:val="28"/>
          <w:lang w:val="en-US"/>
        </w:rPr>
        <w:t>以任何方式表明合格的产品</w:t>
      </w:r>
      <w:r>
        <w:rPr>
          <w:rFonts w:hint="eastAsia" w:asciiTheme="minorEastAsia" w:hAnsiTheme="minorEastAsia"/>
          <w:sz w:val="28"/>
          <w:szCs w:val="28"/>
          <w:lang w:val="en-US" w:eastAsia="zh-CN"/>
        </w:rPr>
        <w:t>。</w:t>
      </w:r>
    </w:p>
    <w:p w14:paraId="1993A8C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.1</w:t>
      </w:r>
      <w:r>
        <w:rPr>
          <w:rFonts w:hint="eastAsia" w:asciiTheme="minorEastAsia" w:hAnsiTheme="minorEastAsia"/>
          <w:sz w:val="28"/>
          <w:szCs w:val="28"/>
        </w:rPr>
        <w:t>抽样型号或规格</w:t>
      </w:r>
    </w:p>
    <w:p w14:paraId="453F721C">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在流通领域实体店抽样时，在受检店铺仓库内随机抽取有产品质量检验合格证明或以其他形式标明合格的、近期生产的同一型号规格、同一批次的产品。</w:t>
      </w:r>
    </w:p>
    <w:p w14:paraId="03095718">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冷热水用聚丙烯（PP-R）管材:抽样型号或规格，原则上规定抽样样品为公称外径dn20mm～dn110mm的管材。</w:t>
      </w:r>
    </w:p>
    <w:p w14:paraId="13B2E310">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硬聚氯乙烯（PVC-U）管材：抽样型号或规格，原则上规定抽样样品为公称外径dn20mm～dn160mm管材。</w:t>
      </w:r>
    </w:p>
    <w:p w14:paraId="47791F9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给水用聚乙烯（PE）管材：抽取公称外径dn25mm～dn200mm的PE80、PE100管材；PE63管材不在本次抽查范围、公称外径大于200mm的PE80、PE100管材不在本次抽查范围。</w:t>
      </w:r>
    </w:p>
    <w:p w14:paraId="4189AF45">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.2</w:t>
      </w:r>
      <w:r>
        <w:rPr>
          <w:rFonts w:hint="eastAsia" w:asciiTheme="minorEastAsia" w:hAnsiTheme="minorEastAsia"/>
          <w:sz w:val="28"/>
          <w:szCs w:val="28"/>
        </w:rPr>
        <w:t>抽样方法、数量及相关要求</w:t>
      </w:r>
    </w:p>
    <w:p w14:paraId="51D86535">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4.2.1冷热水用聚丙烯（PP-R）管材:</w:t>
      </w:r>
    </w:p>
    <w:p w14:paraId="6D9C2E8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抽样基数:同一批、同一规格中满足抽样数量即可。</w:t>
      </w:r>
    </w:p>
    <w:p w14:paraId="35D496E8">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抽样数量:管材：同一批合格产品中抽取8根，每根截取4段，每段1m。每根中的2段作为检测样品，2段作为备用样品；</w:t>
      </w:r>
    </w:p>
    <w:p w14:paraId="41A6CC8B">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如每根管材的长度不足以截取4段，应增加抽取管材的根数，使最终截取的总段数不少于上述要求。</w:t>
      </w:r>
    </w:p>
    <w:p w14:paraId="6842B360">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4.2.2硬聚氯乙烯（PVC-U）管材：</w:t>
      </w:r>
    </w:p>
    <w:p w14:paraId="1DEA3501">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抽样基数:同一批、同一规格中满足抽样数量即可。</w:t>
      </w:r>
    </w:p>
    <w:p w14:paraId="10F2AB90">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抽样数量：同一批合格的产品中管材抽取8根，每根截取4段，每段1m；每根中的2段作为检测样品，2段作为备用样品。</w:t>
      </w:r>
    </w:p>
    <w:p w14:paraId="2FE2BD92">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如每根管材的长度不足以截取4段，应增加抽取管材的根数，使最终截取的总段数不少于上述要求。</w:t>
      </w:r>
    </w:p>
    <w:p w14:paraId="31369765">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4.2.3给水用聚乙烯（PE）管材：</w:t>
      </w:r>
    </w:p>
    <w:p w14:paraId="5B0486F5">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抽样基数:同一批、同一规格中满足抽样数量即可。</w:t>
      </w:r>
    </w:p>
    <w:p w14:paraId="736DD356">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同一批次合格产品中非饮用水管材抽取6根或6盘（产品以盘管形式存放时），每根（盘）截取5段，每段1m；每根（盘）中的3段作为检验样品，2段作为备用样品。饮用水管材抽取7根或7盘（产品以盘管形式存放时），每根（盘）截取5段，每段1m；每根（盘）中的3段作为检验样品，2段作为备用样品。</w:t>
      </w:r>
    </w:p>
    <w:p w14:paraId="2E646F2B">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如每根管材的长度不足以截取5段，应增加抽取管材的根数，使最终截取的总段数不少于上述要求。</w:t>
      </w:r>
    </w:p>
    <w:p w14:paraId="631C380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4.2.</w:t>
      </w:r>
      <w:r>
        <w:rPr>
          <w:rFonts w:hint="eastAsia" w:asciiTheme="minorEastAsia" w:hAnsiTheme="minorEastAsia"/>
          <w:sz w:val="28"/>
          <w:szCs w:val="28"/>
          <w:lang w:val="en-US" w:eastAsia="zh-CN"/>
        </w:rPr>
        <w:t>4</w:t>
      </w:r>
      <w:r>
        <w:rPr>
          <w:rFonts w:hint="eastAsia" w:asciiTheme="minorEastAsia" w:hAnsiTheme="minorEastAsia"/>
          <w:sz w:val="28"/>
          <w:szCs w:val="28"/>
        </w:rPr>
        <w:t xml:space="preserve"> 抽样样品处置</w:t>
      </w:r>
    </w:p>
    <w:p w14:paraId="5DCCEA96">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对每个所抽的样品均应编号标识，标识应具有唯一性。</w:t>
      </w:r>
    </w:p>
    <w:p w14:paraId="1CD887FC">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全部样品由抽样人员和被抽样单位陪同人员用不可擦拭的特殊记号笔签字封样或封样单封样。封样单封样时，应保证所有可开启部位的贴封(防止样品被调换)，并在盖有被抽样单位公章的封样单骑缝处由抽样人员和被抽样单位陪同人员共同签字。检测和备用样品应分别封装，并现场在包装上标注“检测样品”和“备用样品”。</w:t>
      </w:r>
    </w:p>
    <w:p w14:paraId="173EA823">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3抽样单</w:t>
      </w:r>
    </w:p>
    <w:p w14:paraId="19758856">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抽样人员应当使用规定的抽样文书记录信息，包括被抽查产品及受检单位相关信息。对于产品检验所需的样品技术参数等信息，需要受检单位提供的，应在抽样现场获取，并经受检单位确认。并对抽样场所、被抽样产品的标识、库存数量、抽样过程等通过拍照或者录像的方式留存证据。</w:t>
      </w:r>
    </w:p>
    <w:p w14:paraId="734B57C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4.4样品运输与保存</w:t>
      </w:r>
    </w:p>
    <w:p w14:paraId="0D83C4E6">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样品由抽样人员自行寄送或带回。在包装与运送中应保证样品与签封的完好无损。样品送达抽样单位后， 由抽样单位负责样品接收人员和抽样人在打开包装后检查并记录样品签字的真实、封样单的完整以及外观状态等情况，确认样品与抽样单中的记录是否相符。对检测和备用样品分别作出唯一标识后入库。在生产领域抽样，备份样品保存在受检企业。在市场流通领域采样，备份样品由承检机构付费购买后带回承检机构保存。</w:t>
      </w:r>
    </w:p>
    <w:p w14:paraId="0C81036C">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样品应贮存在阴凉、通风的库房内，平整堆放，高度不宜超过 1.5m，避免阳光直射。</w:t>
      </w:r>
    </w:p>
    <w:p w14:paraId="61B57845">
      <w:pPr>
        <w:spacing w:line="360" w:lineRule="auto"/>
        <w:rPr>
          <w:rFonts w:asciiTheme="minorEastAsia" w:hAnsiTheme="minorEastAsia"/>
          <w:sz w:val="28"/>
          <w:szCs w:val="28"/>
        </w:rPr>
      </w:pPr>
      <w:r>
        <w:rPr>
          <w:rFonts w:hint="eastAsia" w:asciiTheme="minorEastAsia" w:hAnsiTheme="minorEastAsia"/>
          <w:sz w:val="28"/>
          <w:szCs w:val="28"/>
        </w:rPr>
        <w:t>5.样品确认</w:t>
      </w:r>
    </w:p>
    <w:p w14:paraId="193719F0">
      <w:pPr>
        <w:spacing w:line="360" w:lineRule="auto"/>
        <w:rPr>
          <w:rFonts w:asciiTheme="minorEastAsia" w:hAnsiTheme="minorEastAsia"/>
          <w:sz w:val="28"/>
          <w:szCs w:val="28"/>
        </w:rPr>
      </w:pPr>
      <w:r>
        <w:rPr>
          <w:rFonts w:hint="eastAsia" w:asciiTheme="minorEastAsia" w:hAnsiTheme="minorEastAsia"/>
          <w:sz w:val="28"/>
          <w:szCs w:val="28"/>
        </w:rPr>
        <w:t xml:space="preserve">   实体店抽取样品后，承检机构应当通过邮政特快专递，将样品确认文书送达样品标注的生产企业进行样品确认。生产企业应当在签收样品确认文书之日起7日内，通过传真、挂号信、特快专递等方式向承检机构反馈样品确认结果的书面材料。</w:t>
      </w:r>
      <w:r>
        <w:rPr>
          <w:rFonts w:hint="eastAsia" w:cs="宋体" w:asciiTheme="minorEastAsia" w:hAnsiTheme="minorEastAsia"/>
          <w:snapToGrid w:val="0"/>
          <w:spacing w:val="2"/>
          <w:sz w:val="28"/>
          <w:szCs w:val="28"/>
        </w:rPr>
        <w:t>逾期未书面反馈或者拒绝签收</w:t>
      </w:r>
      <w:r>
        <w:rPr>
          <w:rFonts w:hint="eastAsia" w:asciiTheme="minorEastAsia" w:hAnsiTheme="minorEastAsia"/>
          <w:sz w:val="28"/>
          <w:szCs w:val="28"/>
        </w:rPr>
        <w:t>的，视同认可样品为生产企业产品。</w:t>
      </w:r>
    </w:p>
    <w:p w14:paraId="336EF34A">
      <w:pPr>
        <w:spacing w:line="360" w:lineRule="auto"/>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 xml:space="preserve">. </w:t>
      </w:r>
      <w:r>
        <w:rPr>
          <w:rFonts w:hint="eastAsia" w:asciiTheme="minorEastAsia" w:hAnsiTheme="minorEastAsia"/>
          <w:sz w:val="28"/>
          <w:szCs w:val="28"/>
        </w:rPr>
        <w:t>检验要求</w:t>
      </w:r>
    </w:p>
    <w:p w14:paraId="233B1C87">
      <w:pPr>
        <w:spacing w:line="360" w:lineRule="auto"/>
        <w:rPr>
          <w:rFonts w:hint="eastAsia"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.1 检验项目</w:t>
      </w:r>
    </w:p>
    <w:p w14:paraId="362D2F89">
      <w:pPr>
        <w:pStyle w:val="4"/>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.1.1冷热水用聚丙烯（PP-R）管材检验项目及重要程度分类见表</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p>
    <w:p w14:paraId="1FECBFF8">
      <w:pPr>
        <w:snapToGrid w:val="0"/>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冷热水用聚丙烯（PP-R）管材检验项目及重要程度分类</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157"/>
        <w:gridCol w:w="1580"/>
        <w:gridCol w:w="1791"/>
        <w:gridCol w:w="1894"/>
        <w:gridCol w:w="816"/>
        <w:gridCol w:w="686"/>
        <w:gridCol w:w="607"/>
      </w:tblGrid>
      <w:tr w14:paraId="3EFA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vMerge w:val="restart"/>
            <w:noWrap w:val="0"/>
            <w:vAlign w:val="center"/>
          </w:tcPr>
          <w:p w14:paraId="4F821F8F">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96" w:type="dxa"/>
            <w:vMerge w:val="restart"/>
            <w:noWrap w:val="0"/>
            <w:vAlign w:val="center"/>
          </w:tcPr>
          <w:p w14:paraId="62CC66BB">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w:t>
            </w:r>
          </w:p>
        </w:tc>
        <w:tc>
          <w:tcPr>
            <w:tcW w:w="1588" w:type="dxa"/>
            <w:vMerge w:val="restart"/>
            <w:noWrap w:val="0"/>
            <w:vAlign w:val="center"/>
          </w:tcPr>
          <w:p w14:paraId="773F4157">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依据法律法规</w:t>
            </w:r>
          </w:p>
          <w:p w14:paraId="5923699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w:t>
            </w:r>
          </w:p>
        </w:tc>
        <w:tc>
          <w:tcPr>
            <w:tcW w:w="1566" w:type="dxa"/>
            <w:vMerge w:val="restart"/>
            <w:noWrap w:val="0"/>
            <w:vAlign w:val="center"/>
          </w:tcPr>
          <w:p w14:paraId="1E8F1D00">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检测方法</w:t>
            </w:r>
          </w:p>
        </w:tc>
        <w:tc>
          <w:tcPr>
            <w:tcW w:w="2003" w:type="dxa"/>
            <w:vMerge w:val="restart"/>
            <w:noWrap w:val="0"/>
            <w:vAlign w:val="center"/>
          </w:tcPr>
          <w:p w14:paraId="7816E3D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主要关键检测设备/台数</w:t>
            </w:r>
          </w:p>
        </w:tc>
        <w:tc>
          <w:tcPr>
            <w:tcW w:w="845" w:type="dxa"/>
            <w:vMerge w:val="restart"/>
            <w:noWrap w:val="0"/>
            <w:vAlign w:val="center"/>
          </w:tcPr>
          <w:p w14:paraId="55460DE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检验过程是否需要电子记录或影像记录</w:t>
            </w:r>
          </w:p>
        </w:tc>
        <w:tc>
          <w:tcPr>
            <w:tcW w:w="1325" w:type="dxa"/>
            <w:gridSpan w:val="2"/>
            <w:tcBorders>
              <w:bottom w:val="single" w:color="auto" w:sz="4" w:space="0"/>
            </w:tcBorders>
            <w:noWrap w:val="0"/>
            <w:vAlign w:val="center"/>
          </w:tcPr>
          <w:p w14:paraId="564BB2B5">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重要程度分类</w:t>
            </w:r>
          </w:p>
        </w:tc>
      </w:tr>
      <w:tr w14:paraId="4301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vMerge w:val="continue"/>
            <w:tcBorders>
              <w:bottom w:val="single" w:color="auto" w:sz="4" w:space="0"/>
            </w:tcBorders>
            <w:noWrap w:val="0"/>
            <w:vAlign w:val="center"/>
          </w:tcPr>
          <w:p w14:paraId="7030D5E5">
            <w:pPr>
              <w:snapToGrid w:val="0"/>
              <w:spacing w:line="320" w:lineRule="exact"/>
              <w:jc w:val="center"/>
              <w:rPr>
                <w:rFonts w:hint="eastAsia" w:asciiTheme="minorEastAsia" w:hAnsiTheme="minorEastAsia" w:eastAsiaTheme="minorEastAsia" w:cstheme="minorEastAsia"/>
                <w:sz w:val="21"/>
                <w:szCs w:val="21"/>
              </w:rPr>
            </w:pPr>
          </w:p>
        </w:tc>
        <w:tc>
          <w:tcPr>
            <w:tcW w:w="1196" w:type="dxa"/>
            <w:vMerge w:val="continue"/>
            <w:tcBorders>
              <w:bottom w:val="single" w:color="auto" w:sz="4" w:space="0"/>
            </w:tcBorders>
            <w:noWrap w:val="0"/>
            <w:vAlign w:val="center"/>
          </w:tcPr>
          <w:p w14:paraId="3344369B">
            <w:pPr>
              <w:snapToGrid w:val="0"/>
              <w:spacing w:line="320" w:lineRule="exact"/>
              <w:jc w:val="center"/>
              <w:rPr>
                <w:rFonts w:hint="eastAsia" w:asciiTheme="minorEastAsia" w:hAnsiTheme="minorEastAsia" w:eastAsiaTheme="minorEastAsia" w:cstheme="minorEastAsia"/>
                <w:sz w:val="21"/>
                <w:szCs w:val="21"/>
              </w:rPr>
            </w:pPr>
          </w:p>
        </w:tc>
        <w:tc>
          <w:tcPr>
            <w:tcW w:w="1588" w:type="dxa"/>
            <w:vMerge w:val="continue"/>
            <w:tcBorders>
              <w:bottom w:val="single" w:color="auto" w:sz="4" w:space="0"/>
            </w:tcBorders>
            <w:noWrap w:val="0"/>
            <w:vAlign w:val="center"/>
          </w:tcPr>
          <w:p w14:paraId="728B1585">
            <w:pPr>
              <w:snapToGrid w:val="0"/>
              <w:spacing w:line="320" w:lineRule="exact"/>
              <w:jc w:val="center"/>
              <w:rPr>
                <w:rFonts w:hint="eastAsia" w:asciiTheme="minorEastAsia" w:hAnsiTheme="minorEastAsia" w:eastAsiaTheme="minorEastAsia" w:cstheme="minorEastAsia"/>
                <w:sz w:val="21"/>
                <w:szCs w:val="21"/>
              </w:rPr>
            </w:pPr>
          </w:p>
        </w:tc>
        <w:tc>
          <w:tcPr>
            <w:tcW w:w="1566" w:type="dxa"/>
            <w:vMerge w:val="continue"/>
            <w:tcBorders>
              <w:bottom w:val="single" w:color="auto" w:sz="4" w:space="0"/>
            </w:tcBorders>
            <w:noWrap w:val="0"/>
            <w:vAlign w:val="center"/>
          </w:tcPr>
          <w:p w14:paraId="53E81812">
            <w:pPr>
              <w:snapToGrid w:val="0"/>
              <w:spacing w:line="320" w:lineRule="exact"/>
              <w:jc w:val="center"/>
              <w:rPr>
                <w:rFonts w:hint="eastAsia" w:asciiTheme="minorEastAsia" w:hAnsiTheme="minorEastAsia" w:eastAsiaTheme="minorEastAsia" w:cstheme="minorEastAsia"/>
                <w:sz w:val="21"/>
                <w:szCs w:val="21"/>
              </w:rPr>
            </w:pPr>
          </w:p>
        </w:tc>
        <w:tc>
          <w:tcPr>
            <w:tcW w:w="2003" w:type="dxa"/>
            <w:vMerge w:val="continue"/>
            <w:tcBorders>
              <w:bottom w:val="single" w:color="auto" w:sz="4" w:space="0"/>
            </w:tcBorders>
            <w:noWrap w:val="0"/>
            <w:vAlign w:val="center"/>
          </w:tcPr>
          <w:p w14:paraId="4AA10F32">
            <w:pPr>
              <w:snapToGrid w:val="0"/>
              <w:spacing w:line="320" w:lineRule="exact"/>
              <w:jc w:val="center"/>
              <w:rPr>
                <w:rFonts w:hint="eastAsia" w:asciiTheme="minorEastAsia" w:hAnsiTheme="minorEastAsia" w:eastAsiaTheme="minorEastAsia" w:cstheme="minorEastAsia"/>
                <w:sz w:val="21"/>
                <w:szCs w:val="21"/>
              </w:rPr>
            </w:pPr>
          </w:p>
        </w:tc>
        <w:tc>
          <w:tcPr>
            <w:tcW w:w="845" w:type="dxa"/>
            <w:vMerge w:val="continue"/>
            <w:tcBorders>
              <w:bottom w:val="single" w:color="auto" w:sz="4" w:space="0"/>
            </w:tcBorders>
            <w:noWrap w:val="0"/>
            <w:vAlign w:val="center"/>
          </w:tcPr>
          <w:p w14:paraId="7B42B021">
            <w:pPr>
              <w:snapToGrid w:val="0"/>
              <w:spacing w:line="320" w:lineRule="exact"/>
              <w:jc w:val="center"/>
              <w:rPr>
                <w:rFonts w:hint="eastAsia" w:asciiTheme="minorEastAsia" w:hAnsiTheme="minorEastAsia" w:eastAsiaTheme="minorEastAsia" w:cstheme="minorEastAsia"/>
                <w:sz w:val="21"/>
                <w:szCs w:val="21"/>
              </w:rPr>
            </w:pPr>
          </w:p>
        </w:tc>
        <w:tc>
          <w:tcPr>
            <w:tcW w:w="705" w:type="dxa"/>
            <w:tcBorders>
              <w:bottom w:val="single" w:color="auto" w:sz="4" w:space="0"/>
            </w:tcBorders>
            <w:noWrap w:val="0"/>
            <w:vAlign w:val="center"/>
          </w:tcPr>
          <w:p w14:paraId="42207AE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A类</w:t>
            </w:r>
            <w:r>
              <w:rPr>
                <w:rFonts w:hint="eastAsia" w:asciiTheme="minorEastAsia" w:hAnsiTheme="minorEastAsia" w:eastAsiaTheme="minorEastAsia" w:cstheme="minorEastAsia"/>
                <w:sz w:val="21"/>
                <w:szCs w:val="21"/>
                <w:vertAlign w:val="superscript"/>
              </w:rPr>
              <w:t>a</w:t>
            </w:r>
          </w:p>
        </w:tc>
        <w:tc>
          <w:tcPr>
            <w:tcW w:w="620" w:type="dxa"/>
            <w:tcBorders>
              <w:bottom w:val="single" w:color="auto" w:sz="4" w:space="0"/>
            </w:tcBorders>
            <w:noWrap w:val="0"/>
            <w:vAlign w:val="center"/>
          </w:tcPr>
          <w:p w14:paraId="370B3E12">
            <w:pPr>
              <w:widowControl/>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B类</w:t>
            </w:r>
            <w:r>
              <w:rPr>
                <w:rFonts w:hint="eastAsia" w:asciiTheme="minorEastAsia" w:hAnsiTheme="minorEastAsia" w:eastAsiaTheme="minorEastAsia" w:cstheme="minorEastAsia"/>
                <w:sz w:val="21"/>
                <w:szCs w:val="21"/>
                <w:vertAlign w:val="superscript"/>
              </w:rPr>
              <w:t>b</w:t>
            </w:r>
          </w:p>
        </w:tc>
      </w:tr>
      <w:tr w14:paraId="3E31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0E8E8C0C">
            <w:pPr>
              <w:snapToGrid w:val="0"/>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196" w:type="dxa"/>
            <w:noWrap w:val="0"/>
            <w:vAlign w:val="center"/>
          </w:tcPr>
          <w:p w14:paraId="43745FD3">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纵向回缩率</w:t>
            </w:r>
          </w:p>
        </w:tc>
        <w:tc>
          <w:tcPr>
            <w:tcW w:w="1588" w:type="dxa"/>
            <w:noWrap w:val="0"/>
            <w:vAlign w:val="center"/>
          </w:tcPr>
          <w:p w14:paraId="0F2C53E1">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18742.2-2017</w:t>
            </w:r>
          </w:p>
        </w:tc>
        <w:tc>
          <w:tcPr>
            <w:tcW w:w="1566" w:type="dxa"/>
            <w:noWrap w:val="0"/>
            <w:vAlign w:val="center"/>
          </w:tcPr>
          <w:p w14:paraId="02CBD265">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6671-2001</w:t>
            </w:r>
          </w:p>
        </w:tc>
        <w:tc>
          <w:tcPr>
            <w:tcW w:w="2003" w:type="dxa"/>
            <w:noWrap w:val="0"/>
            <w:vAlign w:val="center"/>
          </w:tcPr>
          <w:p w14:paraId="275ACBF5">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电热鼓风干燥箱/2</w:t>
            </w:r>
          </w:p>
          <w:p w14:paraId="6320D15E">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游标卡尺/2台</w:t>
            </w:r>
          </w:p>
        </w:tc>
        <w:tc>
          <w:tcPr>
            <w:tcW w:w="845" w:type="dxa"/>
            <w:noWrap w:val="0"/>
            <w:vAlign w:val="center"/>
          </w:tcPr>
          <w:p w14:paraId="0398E5D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705" w:type="dxa"/>
            <w:noWrap w:val="0"/>
            <w:vAlign w:val="center"/>
          </w:tcPr>
          <w:p w14:paraId="0527F75D">
            <w:pPr>
              <w:snapToGrid w:val="0"/>
              <w:spacing w:line="320" w:lineRule="exact"/>
              <w:jc w:val="center"/>
              <w:rPr>
                <w:rFonts w:hint="eastAsia" w:asciiTheme="minorEastAsia" w:hAnsiTheme="minorEastAsia" w:eastAsiaTheme="minorEastAsia" w:cstheme="minorEastAsia"/>
                <w:sz w:val="21"/>
                <w:szCs w:val="21"/>
              </w:rPr>
            </w:pPr>
          </w:p>
        </w:tc>
        <w:tc>
          <w:tcPr>
            <w:tcW w:w="620" w:type="dxa"/>
            <w:noWrap w:val="0"/>
            <w:vAlign w:val="top"/>
          </w:tcPr>
          <w:p w14:paraId="4C70A1C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7C4A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260E408B">
            <w:pPr>
              <w:snapToGrid w:val="0"/>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196" w:type="dxa"/>
            <w:noWrap w:val="0"/>
            <w:vAlign w:val="center"/>
          </w:tcPr>
          <w:p w14:paraId="14D58572">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简支梁冲击试验</w:t>
            </w:r>
          </w:p>
        </w:tc>
        <w:tc>
          <w:tcPr>
            <w:tcW w:w="1588" w:type="dxa"/>
            <w:noWrap w:val="0"/>
            <w:vAlign w:val="center"/>
          </w:tcPr>
          <w:p w14:paraId="27A68729">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18742.2-2017</w:t>
            </w:r>
          </w:p>
        </w:tc>
        <w:tc>
          <w:tcPr>
            <w:tcW w:w="1566" w:type="dxa"/>
            <w:noWrap w:val="0"/>
            <w:vAlign w:val="center"/>
          </w:tcPr>
          <w:p w14:paraId="76FC6C0B">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GB/T 18743-2002 </w:t>
            </w:r>
          </w:p>
        </w:tc>
        <w:tc>
          <w:tcPr>
            <w:tcW w:w="2003" w:type="dxa"/>
            <w:noWrap w:val="0"/>
            <w:vAlign w:val="center"/>
          </w:tcPr>
          <w:p w14:paraId="7549688A">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数显简支梁冲击试验机/1台</w:t>
            </w:r>
          </w:p>
        </w:tc>
        <w:tc>
          <w:tcPr>
            <w:tcW w:w="845" w:type="dxa"/>
            <w:noWrap w:val="0"/>
            <w:vAlign w:val="center"/>
          </w:tcPr>
          <w:p w14:paraId="593AF79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705" w:type="dxa"/>
            <w:noWrap w:val="0"/>
            <w:vAlign w:val="center"/>
          </w:tcPr>
          <w:p w14:paraId="6ACF5C9D">
            <w:pPr>
              <w:snapToGrid w:val="0"/>
              <w:spacing w:line="320" w:lineRule="exact"/>
              <w:jc w:val="center"/>
              <w:rPr>
                <w:rFonts w:hint="eastAsia" w:asciiTheme="minorEastAsia" w:hAnsiTheme="minorEastAsia" w:eastAsiaTheme="minorEastAsia" w:cstheme="minorEastAsia"/>
                <w:sz w:val="21"/>
                <w:szCs w:val="21"/>
              </w:rPr>
            </w:pPr>
          </w:p>
        </w:tc>
        <w:tc>
          <w:tcPr>
            <w:tcW w:w="620" w:type="dxa"/>
            <w:noWrap w:val="0"/>
            <w:vAlign w:val="top"/>
          </w:tcPr>
          <w:p w14:paraId="23E97C19">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208C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0C504C61">
            <w:pPr>
              <w:snapToGrid w:val="0"/>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196" w:type="dxa"/>
            <w:noWrap w:val="0"/>
            <w:vAlign w:val="center"/>
          </w:tcPr>
          <w:p w14:paraId="74E80033">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静液压试验20℃ 1h</w:t>
            </w:r>
          </w:p>
        </w:tc>
        <w:tc>
          <w:tcPr>
            <w:tcW w:w="1588" w:type="dxa"/>
            <w:noWrap w:val="0"/>
            <w:vAlign w:val="center"/>
          </w:tcPr>
          <w:p w14:paraId="2D3A4338">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18742.2-2017</w:t>
            </w:r>
          </w:p>
        </w:tc>
        <w:tc>
          <w:tcPr>
            <w:tcW w:w="1566" w:type="dxa"/>
            <w:noWrap w:val="0"/>
            <w:vAlign w:val="center"/>
          </w:tcPr>
          <w:p w14:paraId="79D6C682">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GB/T 6111-2003 </w:t>
            </w:r>
          </w:p>
        </w:tc>
        <w:tc>
          <w:tcPr>
            <w:tcW w:w="2003" w:type="dxa"/>
            <w:noWrap w:val="0"/>
            <w:vAlign w:val="center"/>
          </w:tcPr>
          <w:p w14:paraId="5D0BD76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微机控制静液压试验机/1台</w:t>
            </w:r>
          </w:p>
        </w:tc>
        <w:tc>
          <w:tcPr>
            <w:tcW w:w="845" w:type="dxa"/>
            <w:noWrap w:val="0"/>
            <w:vAlign w:val="center"/>
          </w:tcPr>
          <w:p w14:paraId="63708A9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705" w:type="dxa"/>
            <w:noWrap w:val="0"/>
            <w:vAlign w:val="center"/>
          </w:tcPr>
          <w:p w14:paraId="1EE93F41">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20" w:type="dxa"/>
            <w:noWrap w:val="0"/>
            <w:vAlign w:val="center"/>
          </w:tcPr>
          <w:p w14:paraId="62175F17">
            <w:pPr>
              <w:snapToGrid w:val="0"/>
              <w:spacing w:line="320" w:lineRule="exact"/>
              <w:jc w:val="center"/>
              <w:rPr>
                <w:rFonts w:hint="eastAsia" w:asciiTheme="minorEastAsia" w:hAnsiTheme="minorEastAsia" w:eastAsiaTheme="minorEastAsia" w:cstheme="minorEastAsia"/>
                <w:sz w:val="21"/>
                <w:szCs w:val="21"/>
              </w:rPr>
            </w:pPr>
          </w:p>
        </w:tc>
      </w:tr>
      <w:tr w14:paraId="37A5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9" w:type="dxa"/>
            <w:noWrap w:val="0"/>
            <w:vAlign w:val="center"/>
          </w:tcPr>
          <w:p w14:paraId="25B57EAC">
            <w:pPr>
              <w:snapToGrid w:val="0"/>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196" w:type="dxa"/>
            <w:noWrap w:val="0"/>
            <w:vAlign w:val="center"/>
          </w:tcPr>
          <w:p w14:paraId="676DEDCA">
            <w:pPr>
              <w:snapToGrid w:val="0"/>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灰分</w:t>
            </w:r>
          </w:p>
        </w:tc>
        <w:tc>
          <w:tcPr>
            <w:tcW w:w="1588" w:type="dxa"/>
            <w:noWrap w:val="0"/>
            <w:vAlign w:val="center"/>
          </w:tcPr>
          <w:p w14:paraId="391226EE">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18742.2-2017</w:t>
            </w:r>
          </w:p>
        </w:tc>
        <w:tc>
          <w:tcPr>
            <w:tcW w:w="1566" w:type="dxa"/>
            <w:noWrap w:val="0"/>
            <w:vAlign w:val="center"/>
          </w:tcPr>
          <w:p w14:paraId="33F130EF">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GB/T9345.1-2008</w:t>
            </w:r>
          </w:p>
        </w:tc>
        <w:tc>
          <w:tcPr>
            <w:tcW w:w="2003" w:type="dxa"/>
            <w:noWrap w:val="0"/>
            <w:vAlign w:val="center"/>
          </w:tcPr>
          <w:p w14:paraId="006577DB">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箱式电阻炉</w:t>
            </w:r>
            <w:r>
              <w:rPr>
                <w:rFonts w:hint="eastAsia" w:asciiTheme="minorEastAsia" w:hAnsiTheme="minorEastAsia" w:eastAsiaTheme="minorEastAsia" w:cstheme="minorEastAsia"/>
                <w:sz w:val="21"/>
                <w:szCs w:val="21"/>
              </w:rPr>
              <w:t>/1台</w:t>
            </w:r>
          </w:p>
        </w:tc>
        <w:tc>
          <w:tcPr>
            <w:tcW w:w="845" w:type="dxa"/>
            <w:noWrap w:val="0"/>
            <w:vAlign w:val="center"/>
          </w:tcPr>
          <w:p w14:paraId="02924B3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705" w:type="dxa"/>
            <w:noWrap w:val="0"/>
            <w:vAlign w:val="center"/>
          </w:tcPr>
          <w:p w14:paraId="0A91A333">
            <w:pPr>
              <w:spacing w:line="320" w:lineRule="exact"/>
              <w:jc w:val="center"/>
              <w:rPr>
                <w:rFonts w:hint="eastAsia" w:asciiTheme="minorEastAsia" w:hAnsiTheme="minorEastAsia" w:eastAsiaTheme="minorEastAsia" w:cstheme="minorEastAsia"/>
                <w:sz w:val="21"/>
                <w:szCs w:val="21"/>
              </w:rPr>
            </w:pPr>
          </w:p>
        </w:tc>
        <w:tc>
          <w:tcPr>
            <w:tcW w:w="620" w:type="dxa"/>
            <w:noWrap w:val="0"/>
            <w:vAlign w:val="center"/>
          </w:tcPr>
          <w:p w14:paraId="18794E2D">
            <w:pPr>
              <w:snapToGrid w:val="0"/>
              <w:spacing w:line="320" w:lineRule="exact"/>
              <w:jc w:val="center"/>
              <w:rPr>
                <w:rFonts w:hint="eastAsia" w:asciiTheme="minorEastAsia" w:hAnsiTheme="minorEastAsia" w:eastAsiaTheme="minorEastAsia" w:cstheme="minorEastAsia"/>
                <w:sz w:val="21"/>
                <w:szCs w:val="21"/>
              </w:rPr>
            </w:pPr>
          </w:p>
        </w:tc>
      </w:tr>
    </w:tbl>
    <w:p w14:paraId="76F53F34">
      <w:pPr>
        <w:snapToGrid w:val="0"/>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.1.2建筑排水用硬聚氯乙烯（PVC-U）管材检验项目及重要程度分类见表</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p>
    <w:p w14:paraId="695A19E3">
      <w:pPr>
        <w:snapToGrid w:val="0"/>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建筑排水用硬聚氯乙烯（PVC-U）管材检验项目及重要程度分类</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225"/>
        <w:gridCol w:w="1559"/>
        <w:gridCol w:w="1559"/>
        <w:gridCol w:w="1843"/>
        <w:gridCol w:w="892"/>
        <w:gridCol w:w="683"/>
        <w:gridCol w:w="749"/>
      </w:tblGrid>
      <w:tr w14:paraId="71E8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restart"/>
            <w:noWrap w:val="0"/>
            <w:vAlign w:val="center"/>
          </w:tcPr>
          <w:p w14:paraId="1DC02B53">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25" w:type="dxa"/>
            <w:vMerge w:val="restart"/>
            <w:noWrap w:val="0"/>
            <w:vAlign w:val="center"/>
          </w:tcPr>
          <w:p w14:paraId="038D6D8F">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w:t>
            </w:r>
          </w:p>
        </w:tc>
        <w:tc>
          <w:tcPr>
            <w:tcW w:w="1559" w:type="dxa"/>
            <w:vMerge w:val="restart"/>
            <w:noWrap w:val="0"/>
            <w:vAlign w:val="center"/>
          </w:tcPr>
          <w:p w14:paraId="2B856D7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依据法律法规</w:t>
            </w:r>
          </w:p>
          <w:p w14:paraId="17B3EBD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或标准</w:t>
            </w:r>
          </w:p>
        </w:tc>
        <w:tc>
          <w:tcPr>
            <w:tcW w:w="1559" w:type="dxa"/>
            <w:vMerge w:val="restart"/>
            <w:noWrap w:val="0"/>
            <w:vAlign w:val="center"/>
          </w:tcPr>
          <w:p w14:paraId="157EAD5B">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检测方法</w:t>
            </w:r>
          </w:p>
        </w:tc>
        <w:tc>
          <w:tcPr>
            <w:tcW w:w="1843" w:type="dxa"/>
            <w:vMerge w:val="restart"/>
            <w:noWrap w:val="0"/>
            <w:vAlign w:val="center"/>
          </w:tcPr>
          <w:p w14:paraId="3CC8B139">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主要关键检测设备/台数</w:t>
            </w:r>
          </w:p>
        </w:tc>
        <w:tc>
          <w:tcPr>
            <w:tcW w:w="892" w:type="dxa"/>
            <w:vMerge w:val="restart"/>
            <w:noWrap w:val="0"/>
            <w:vAlign w:val="center"/>
          </w:tcPr>
          <w:p w14:paraId="416BA6EA">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检验过程是否需要电子记录或影像记录</w:t>
            </w:r>
          </w:p>
        </w:tc>
        <w:tc>
          <w:tcPr>
            <w:tcW w:w="1432" w:type="dxa"/>
            <w:gridSpan w:val="2"/>
            <w:tcBorders>
              <w:bottom w:val="single" w:color="auto" w:sz="4" w:space="0"/>
            </w:tcBorders>
            <w:noWrap w:val="0"/>
            <w:vAlign w:val="center"/>
          </w:tcPr>
          <w:p w14:paraId="0A5FCF79">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重要程度分类</w:t>
            </w:r>
          </w:p>
        </w:tc>
      </w:tr>
      <w:tr w14:paraId="5ACF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Merge w:val="continue"/>
            <w:tcBorders>
              <w:bottom w:val="single" w:color="auto" w:sz="4" w:space="0"/>
            </w:tcBorders>
            <w:noWrap w:val="0"/>
            <w:vAlign w:val="center"/>
          </w:tcPr>
          <w:p w14:paraId="4106E720">
            <w:pPr>
              <w:snapToGrid w:val="0"/>
              <w:spacing w:line="320" w:lineRule="exact"/>
              <w:jc w:val="center"/>
              <w:rPr>
                <w:rFonts w:hint="eastAsia" w:asciiTheme="minorEastAsia" w:hAnsiTheme="minorEastAsia" w:eastAsiaTheme="minorEastAsia" w:cstheme="minorEastAsia"/>
                <w:sz w:val="21"/>
                <w:szCs w:val="21"/>
              </w:rPr>
            </w:pPr>
          </w:p>
        </w:tc>
        <w:tc>
          <w:tcPr>
            <w:tcW w:w="1225" w:type="dxa"/>
            <w:vMerge w:val="continue"/>
            <w:tcBorders>
              <w:bottom w:val="single" w:color="auto" w:sz="4" w:space="0"/>
            </w:tcBorders>
            <w:noWrap w:val="0"/>
            <w:vAlign w:val="center"/>
          </w:tcPr>
          <w:p w14:paraId="7217F716">
            <w:pPr>
              <w:snapToGrid w:val="0"/>
              <w:spacing w:line="320" w:lineRule="exact"/>
              <w:jc w:val="center"/>
              <w:rPr>
                <w:rFonts w:hint="eastAsia" w:asciiTheme="minorEastAsia" w:hAnsiTheme="minorEastAsia" w:eastAsiaTheme="minorEastAsia" w:cstheme="minorEastAsia"/>
                <w:sz w:val="21"/>
                <w:szCs w:val="21"/>
              </w:rPr>
            </w:pPr>
          </w:p>
        </w:tc>
        <w:tc>
          <w:tcPr>
            <w:tcW w:w="1559" w:type="dxa"/>
            <w:vMerge w:val="continue"/>
            <w:tcBorders>
              <w:bottom w:val="single" w:color="auto" w:sz="4" w:space="0"/>
            </w:tcBorders>
            <w:noWrap w:val="0"/>
            <w:vAlign w:val="center"/>
          </w:tcPr>
          <w:p w14:paraId="4B28F137">
            <w:pPr>
              <w:snapToGrid w:val="0"/>
              <w:spacing w:line="320" w:lineRule="exact"/>
              <w:jc w:val="center"/>
              <w:rPr>
                <w:rFonts w:hint="eastAsia" w:asciiTheme="minorEastAsia" w:hAnsiTheme="minorEastAsia" w:eastAsiaTheme="minorEastAsia" w:cstheme="minorEastAsia"/>
                <w:sz w:val="21"/>
                <w:szCs w:val="21"/>
              </w:rPr>
            </w:pPr>
          </w:p>
        </w:tc>
        <w:tc>
          <w:tcPr>
            <w:tcW w:w="1559" w:type="dxa"/>
            <w:vMerge w:val="continue"/>
            <w:tcBorders>
              <w:bottom w:val="single" w:color="auto" w:sz="4" w:space="0"/>
            </w:tcBorders>
            <w:noWrap w:val="0"/>
            <w:vAlign w:val="center"/>
          </w:tcPr>
          <w:p w14:paraId="1C3E0545">
            <w:pPr>
              <w:snapToGrid w:val="0"/>
              <w:spacing w:line="320" w:lineRule="exact"/>
              <w:jc w:val="center"/>
              <w:rPr>
                <w:rFonts w:hint="eastAsia" w:asciiTheme="minorEastAsia" w:hAnsiTheme="minorEastAsia" w:eastAsiaTheme="minorEastAsia" w:cstheme="minorEastAsia"/>
                <w:sz w:val="21"/>
                <w:szCs w:val="21"/>
              </w:rPr>
            </w:pPr>
          </w:p>
        </w:tc>
        <w:tc>
          <w:tcPr>
            <w:tcW w:w="1843" w:type="dxa"/>
            <w:vMerge w:val="continue"/>
            <w:tcBorders>
              <w:bottom w:val="single" w:color="auto" w:sz="4" w:space="0"/>
            </w:tcBorders>
            <w:noWrap w:val="0"/>
            <w:vAlign w:val="center"/>
          </w:tcPr>
          <w:p w14:paraId="249F8D74">
            <w:pPr>
              <w:snapToGrid w:val="0"/>
              <w:spacing w:line="320" w:lineRule="exact"/>
              <w:jc w:val="center"/>
              <w:rPr>
                <w:rFonts w:hint="eastAsia" w:asciiTheme="minorEastAsia" w:hAnsiTheme="minorEastAsia" w:eastAsiaTheme="minorEastAsia" w:cstheme="minorEastAsia"/>
                <w:sz w:val="21"/>
                <w:szCs w:val="21"/>
              </w:rPr>
            </w:pPr>
          </w:p>
        </w:tc>
        <w:tc>
          <w:tcPr>
            <w:tcW w:w="892" w:type="dxa"/>
            <w:vMerge w:val="continue"/>
            <w:tcBorders>
              <w:bottom w:val="single" w:color="auto" w:sz="4" w:space="0"/>
            </w:tcBorders>
            <w:noWrap w:val="0"/>
            <w:vAlign w:val="center"/>
          </w:tcPr>
          <w:p w14:paraId="65700B9B">
            <w:pPr>
              <w:snapToGrid w:val="0"/>
              <w:spacing w:line="320" w:lineRule="exact"/>
              <w:jc w:val="center"/>
              <w:rPr>
                <w:rFonts w:hint="eastAsia" w:asciiTheme="minorEastAsia" w:hAnsiTheme="minorEastAsia" w:eastAsiaTheme="minorEastAsia" w:cstheme="minorEastAsia"/>
                <w:sz w:val="21"/>
                <w:szCs w:val="21"/>
              </w:rPr>
            </w:pPr>
          </w:p>
        </w:tc>
        <w:tc>
          <w:tcPr>
            <w:tcW w:w="683" w:type="dxa"/>
            <w:tcBorders>
              <w:bottom w:val="single" w:color="auto" w:sz="4" w:space="0"/>
            </w:tcBorders>
            <w:noWrap w:val="0"/>
            <w:vAlign w:val="center"/>
          </w:tcPr>
          <w:p w14:paraId="6C1760CD">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A类</w:t>
            </w:r>
            <w:r>
              <w:rPr>
                <w:rFonts w:hint="eastAsia" w:asciiTheme="minorEastAsia" w:hAnsiTheme="minorEastAsia" w:eastAsiaTheme="minorEastAsia" w:cstheme="minorEastAsia"/>
                <w:sz w:val="21"/>
                <w:szCs w:val="21"/>
                <w:vertAlign w:val="superscript"/>
              </w:rPr>
              <w:t>a</w:t>
            </w:r>
          </w:p>
        </w:tc>
        <w:tc>
          <w:tcPr>
            <w:tcW w:w="749" w:type="dxa"/>
            <w:tcBorders>
              <w:bottom w:val="single" w:color="auto" w:sz="4" w:space="0"/>
            </w:tcBorders>
            <w:noWrap w:val="0"/>
            <w:vAlign w:val="center"/>
          </w:tcPr>
          <w:p w14:paraId="24B9CB95">
            <w:pPr>
              <w:widowControl/>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B类</w:t>
            </w:r>
            <w:r>
              <w:rPr>
                <w:rFonts w:hint="eastAsia" w:asciiTheme="minorEastAsia" w:hAnsiTheme="minorEastAsia" w:eastAsiaTheme="minorEastAsia" w:cstheme="minorEastAsia"/>
                <w:sz w:val="21"/>
                <w:szCs w:val="21"/>
                <w:vertAlign w:val="superscript"/>
              </w:rPr>
              <w:t>b</w:t>
            </w:r>
          </w:p>
        </w:tc>
      </w:tr>
      <w:tr w14:paraId="5F49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noWrap w:val="0"/>
            <w:vAlign w:val="center"/>
          </w:tcPr>
          <w:p w14:paraId="2F8E687A">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25" w:type="dxa"/>
            <w:noWrap w:val="0"/>
            <w:vAlign w:val="center"/>
          </w:tcPr>
          <w:p w14:paraId="2C1DF644">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密度</w:t>
            </w:r>
          </w:p>
        </w:tc>
        <w:tc>
          <w:tcPr>
            <w:tcW w:w="1559" w:type="dxa"/>
            <w:noWrap w:val="0"/>
            <w:vAlign w:val="center"/>
          </w:tcPr>
          <w:p w14:paraId="3D62961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5836.1-20</w:t>
            </w:r>
            <w:r>
              <w:rPr>
                <w:rFonts w:hint="eastAsia" w:asciiTheme="minorEastAsia" w:hAnsiTheme="minorEastAsia" w:eastAsiaTheme="minorEastAsia" w:cstheme="minorEastAsia"/>
                <w:sz w:val="21"/>
                <w:szCs w:val="21"/>
                <w:lang w:val="en-US" w:eastAsia="zh-CN"/>
              </w:rPr>
              <w:t>18</w:t>
            </w:r>
          </w:p>
        </w:tc>
        <w:tc>
          <w:tcPr>
            <w:tcW w:w="1559" w:type="dxa"/>
            <w:noWrap w:val="0"/>
            <w:vAlign w:val="center"/>
          </w:tcPr>
          <w:p w14:paraId="050E8749">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1033.1-2008</w:t>
            </w:r>
          </w:p>
        </w:tc>
        <w:tc>
          <w:tcPr>
            <w:tcW w:w="1843" w:type="dxa"/>
            <w:noWrap w:val="0"/>
            <w:vAlign w:val="center"/>
          </w:tcPr>
          <w:p w14:paraId="5A4DC46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电光分析天平/1台</w:t>
            </w:r>
          </w:p>
        </w:tc>
        <w:tc>
          <w:tcPr>
            <w:tcW w:w="892" w:type="dxa"/>
            <w:noWrap w:val="0"/>
            <w:vAlign w:val="center"/>
          </w:tcPr>
          <w:p w14:paraId="6A974E6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683" w:type="dxa"/>
            <w:noWrap w:val="0"/>
            <w:vAlign w:val="center"/>
          </w:tcPr>
          <w:p w14:paraId="314E6010">
            <w:pPr>
              <w:snapToGrid w:val="0"/>
              <w:spacing w:line="320" w:lineRule="exact"/>
              <w:jc w:val="center"/>
              <w:rPr>
                <w:rFonts w:hint="eastAsia" w:asciiTheme="minorEastAsia" w:hAnsiTheme="minorEastAsia" w:eastAsiaTheme="minorEastAsia" w:cstheme="minorEastAsia"/>
                <w:sz w:val="21"/>
                <w:szCs w:val="21"/>
              </w:rPr>
            </w:pPr>
          </w:p>
        </w:tc>
        <w:tc>
          <w:tcPr>
            <w:tcW w:w="749" w:type="dxa"/>
            <w:noWrap w:val="0"/>
            <w:vAlign w:val="center"/>
          </w:tcPr>
          <w:p w14:paraId="69FBDC8B">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0BEF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noWrap w:val="0"/>
            <w:vAlign w:val="center"/>
          </w:tcPr>
          <w:p w14:paraId="1CC515D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25" w:type="dxa"/>
            <w:noWrap w:val="0"/>
            <w:vAlign w:val="center"/>
          </w:tcPr>
          <w:p w14:paraId="2837671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维卡软化温度</w:t>
            </w:r>
          </w:p>
        </w:tc>
        <w:tc>
          <w:tcPr>
            <w:tcW w:w="1559" w:type="dxa"/>
            <w:noWrap w:val="0"/>
            <w:vAlign w:val="center"/>
          </w:tcPr>
          <w:p w14:paraId="5D54C1D1">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5836.1-20</w:t>
            </w:r>
            <w:r>
              <w:rPr>
                <w:rFonts w:hint="eastAsia" w:asciiTheme="minorEastAsia" w:hAnsiTheme="minorEastAsia" w:eastAsiaTheme="minorEastAsia" w:cstheme="minorEastAsia"/>
                <w:sz w:val="21"/>
                <w:szCs w:val="21"/>
                <w:lang w:val="en-US" w:eastAsia="zh-CN"/>
              </w:rPr>
              <w:t>18</w:t>
            </w:r>
          </w:p>
        </w:tc>
        <w:tc>
          <w:tcPr>
            <w:tcW w:w="1559" w:type="dxa"/>
            <w:noWrap w:val="0"/>
            <w:vAlign w:val="center"/>
          </w:tcPr>
          <w:p w14:paraId="640019B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8802-2001</w:t>
            </w:r>
          </w:p>
        </w:tc>
        <w:tc>
          <w:tcPr>
            <w:tcW w:w="1843" w:type="dxa"/>
            <w:noWrap w:val="0"/>
            <w:vAlign w:val="center"/>
          </w:tcPr>
          <w:p w14:paraId="180CE55B">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热变形维卡温度测定仪/1台</w:t>
            </w:r>
          </w:p>
        </w:tc>
        <w:tc>
          <w:tcPr>
            <w:tcW w:w="892" w:type="dxa"/>
            <w:noWrap w:val="0"/>
            <w:vAlign w:val="center"/>
          </w:tcPr>
          <w:p w14:paraId="13321BC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683" w:type="dxa"/>
            <w:noWrap w:val="0"/>
            <w:vAlign w:val="center"/>
          </w:tcPr>
          <w:p w14:paraId="3CDEF7A7">
            <w:pPr>
              <w:snapToGrid w:val="0"/>
              <w:spacing w:line="320" w:lineRule="exact"/>
              <w:jc w:val="center"/>
              <w:rPr>
                <w:rFonts w:hint="eastAsia" w:asciiTheme="minorEastAsia" w:hAnsiTheme="minorEastAsia" w:eastAsiaTheme="minorEastAsia" w:cstheme="minorEastAsia"/>
                <w:sz w:val="21"/>
                <w:szCs w:val="21"/>
              </w:rPr>
            </w:pPr>
          </w:p>
        </w:tc>
        <w:tc>
          <w:tcPr>
            <w:tcW w:w="749" w:type="dxa"/>
            <w:noWrap w:val="0"/>
            <w:vAlign w:val="top"/>
          </w:tcPr>
          <w:p w14:paraId="30F03536">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6A35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noWrap w:val="0"/>
            <w:vAlign w:val="center"/>
          </w:tcPr>
          <w:p w14:paraId="134A55D3">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25" w:type="dxa"/>
            <w:noWrap w:val="0"/>
            <w:vAlign w:val="center"/>
          </w:tcPr>
          <w:p w14:paraId="20F66A60">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纵向回缩率</w:t>
            </w:r>
          </w:p>
        </w:tc>
        <w:tc>
          <w:tcPr>
            <w:tcW w:w="1559" w:type="dxa"/>
            <w:noWrap w:val="0"/>
            <w:vAlign w:val="center"/>
          </w:tcPr>
          <w:p w14:paraId="63FAFCDA">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5836.1-20</w:t>
            </w:r>
            <w:r>
              <w:rPr>
                <w:rFonts w:hint="eastAsia" w:asciiTheme="minorEastAsia" w:hAnsiTheme="minorEastAsia" w:eastAsiaTheme="minorEastAsia" w:cstheme="minorEastAsia"/>
                <w:sz w:val="21"/>
                <w:szCs w:val="21"/>
                <w:lang w:val="en-US" w:eastAsia="zh-CN"/>
              </w:rPr>
              <w:t>18</w:t>
            </w:r>
          </w:p>
        </w:tc>
        <w:tc>
          <w:tcPr>
            <w:tcW w:w="1559" w:type="dxa"/>
            <w:noWrap w:val="0"/>
            <w:vAlign w:val="center"/>
          </w:tcPr>
          <w:p w14:paraId="50AFDF2E">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6671-2001</w:t>
            </w:r>
          </w:p>
        </w:tc>
        <w:tc>
          <w:tcPr>
            <w:tcW w:w="1843" w:type="dxa"/>
            <w:noWrap w:val="0"/>
            <w:vAlign w:val="center"/>
          </w:tcPr>
          <w:p w14:paraId="7BB0949A">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电热鼓风干燥箱/2台</w:t>
            </w:r>
          </w:p>
          <w:p w14:paraId="4260C9A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游标卡尺/2台</w:t>
            </w:r>
          </w:p>
        </w:tc>
        <w:tc>
          <w:tcPr>
            <w:tcW w:w="892" w:type="dxa"/>
            <w:noWrap w:val="0"/>
            <w:vAlign w:val="center"/>
          </w:tcPr>
          <w:p w14:paraId="57984A3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683" w:type="dxa"/>
            <w:noWrap w:val="0"/>
            <w:vAlign w:val="center"/>
          </w:tcPr>
          <w:p w14:paraId="10E8B3A7">
            <w:pPr>
              <w:snapToGrid w:val="0"/>
              <w:spacing w:line="320" w:lineRule="exact"/>
              <w:jc w:val="center"/>
              <w:rPr>
                <w:rFonts w:hint="eastAsia" w:asciiTheme="minorEastAsia" w:hAnsiTheme="minorEastAsia" w:eastAsiaTheme="minorEastAsia" w:cstheme="minorEastAsia"/>
                <w:sz w:val="21"/>
                <w:szCs w:val="21"/>
              </w:rPr>
            </w:pPr>
          </w:p>
        </w:tc>
        <w:tc>
          <w:tcPr>
            <w:tcW w:w="749" w:type="dxa"/>
            <w:noWrap w:val="0"/>
            <w:vAlign w:val="top"/>
          </w:tcPr>
          <w:p w14:paraId="12835B1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2A32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noWrap w:val="0"/>
            <w:vAlign w:val="center"/>
          </w:tcPr>
          <w:p w14:paraId="6F93CBB8">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25" w:type="dxa"/>
            <w:noWrap w:val="0"/>
            <w:vAlign w:val="center"/>
          </w:tcPr>
          <w:p w14:paraId="1E9132FD">
            <w:pPr>
              <w:snapToGrid w:val="0"/>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断裂伸长率</w:t>
            </w:r>
          </w:p>
        </w:tc>
        <w:tc>
          <w:tcPr>
            <w:tcW w:w="1559" w:type="dxa"/>
            <w:noWrap w:val="0"/>
            <w:vAlign w:val="center"/>
          </w:tcPr>
          <w:p w14:paraId="3D179173">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5836.1-20</w:t>
            </w:r>
            <w:r>
              <w:rPr>
                <w:rFonts w:hint="eastAsia" w:asciiTheme="minorEastAsia" w:hAnsiTheme="minorEastAsia" w:eastAsiaTheme="minorEastAsia" w:cstheme="minorEastAsia"/>
                <w:sz w:val="21"/>
                <w:szCs w:val="21"/>
                <w:lang w:val="en-US" w:eastAsia="zh-CN"/>
              </w:rPr>
              <w:t>18</w:t>
            </w:r>
          </w:p>
        </w:tc>
        <w:tc>
          <w:tcPr>
            <w:tcW w:w="1559" w:type="dxa"/>
            <w:noWrap w:val="0"/>
            <w:vAlign w:val="center"/>
          </w:tcPr>
          <w:p w14:paraId="13B4D81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13526-2007</w:t>
            </w:r>
          </w:p>
        </w:tc>
        <w:tc>
          <w:tcPr>
            <w:tcW w:w="1843" w:type="dxa"/>
            <w:noWrap w:val="0"/>
            <w:vAlign w:val="center"/>
          </w:tcPr>
          <w:p w14:paraId="0A791592">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烧杯/10个</w:t>
            </w:r>
          </w:p>
        </w:tc>
        <w:tc>
          <w:tcPr>
            <w:tcW w:w="892" w:type="dxa"/>
            <w:noWrap w:val="0"/>
            <w:vAlign w:val="center"/>
          </w:tcPr>
          <w:p w14:paraId="18D498C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683" w:type="dxa"/>
            <w:noWrap w:val="0"/>
            <w:vAlign w:val="center"/>
          </w:tcPr>
          <w:p w14:paraId="4E2F6A49">
            <w:pPr>
              <w:snapToGrid w:val="0"/>
              <w:spacing w:line="320" w:lineRule="exact"/>
              <w:jc w:val="center"/>
              <w:rPr>
                <w:rFonts w:hint="eastAsia" w:asciiTheme="minorEastAsia" w:hAnsiTheme="minorEastAsia" w:eastAsiaTheme="minorEastAsia" w:cstheme="minorEastAsia"/>
                <w:sz w:val="21"/>
                <w:szCs w:val="21"/>
              </w:rPr>
            </w:pPr>
          </w:p>
        </w:tc>
        <w:tc>
          <w:tcPr>
            <w:tcW w:w="749" w:type="dxa"/>
            <w:noWrap w:val="0"/>
            <w:vAlign w:val="top"/>
          </w:tcPr>
          <w:p w14:paraId="28C24F6F">
            <w:pPr>
              <w:spacing w:line="320" w:lineRule="exact"/>
              <w:jc w:val="center"/>
              <w:rPr>
                <w:rFonts w:hint="eastAsia" w:asciiTheme="minorEastAsia" w:hAnsiTheme="minorEastAsia" w:eastAsiaTheme="minorEastAsia" w:cstheme="minorEastAsia"/>
                <w:sz w:val="21"/>
                <w:szCs w:val="21"/>
              </w:rPr>
            </w:pPr>
          </w:p>
        </w:tc>
      </w:tr>
      <w:tr w14:paraId="7747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noWrap w:val="0"/>
            <w:vAlign w:val="center"/>
          </w:tcPr>
          <w:p w14:paraId="073D8B91">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225" w:type="dxa"/>
            <w:noWrap w:val="0"/>
            <w:vAlign w:val="center"/>
          </w:tcPr>
          <w:p w14:paraId="19F13DEC">
            <w:pPr>
              <w:snapToGrid w:val="0"/>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拉伸屈服</w:t>
            </w:r>
            <w:r>
              <w:rPr>
                <w:rFonts w:hint="eastAsia" w:asciiTheme="minorEastAsia" w:hAnsiTheme="minorEastAsia" w:eastAsiaTheme="minorEastAsia" w:cstheme="minorEastAsia"/>
                <w:sz w:val="21"/>
                <w:szCs w:val="21"/>
                <w:lang w:eastAsia="zh-CN"/>
              </w:rPr>
              <w:t>应力</w:t>
            </w:r>
          </w:p>
        </w:tc>
        <w:tc>
          <w:tcPr>
            <w:tcW w:w="1559" w:type="dxa"/>
            <w:noWrap w:val="0"/>
            <w:vAlign w:val="center"/>
          </w:tcPr>
          <w:p w14:paraId="64C268B3">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5836.1-20</w:t>
            </w:r>
            <w:r>
              <w:rPr>
                <w:rFonts w:hint="eastAsia" w:asciiTheme="minorEastAsia" w:hAnsiTheme="minorEastAsia" w:eastAsiaTheme="minorEastAsia" w:cstheme="minorEastAsia"/>
                <w:sz w:val="21"/>
                <w:szCs w:val="21"/>
                <w:lang w:val="en-US" w:eastAsia="zh-CN"/>
              </w:rPr>
              <w:t>18</w:t>
            </w:r>
          </w:p>
        </w:tc>
        <w:tc>
          <w:tcPr>
            <w:tcW w:w="1559" w:type="dxa"/>
            <w:noWrap w:val="0"/>
            <w:vAlign w:val="center"/>
          </w:tcPr>
          <w:p w14:paraId="238FEC29">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8804.2-2003</w:t>
            </w:r>
          </w:p>
        </w:tc>
        <w:tc>
          <w:tcPr>
            <w:tcW w:w="1843" w:type="dxa"/>
            <w:noWrap w:val="0"/>
            <w:vAlign w:val="center"/>
          </w:tcPr>
          <w:p w14:paraId="3C548DDF">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微机控制电子万能试验机/1台</w:t>
            </w:r>
          </w:p>
        </w:tc>
        <w:tc>
          <w:tcPr>
            <w:tcW w:w="892" w:type="dxa"/>
            <w:noWrap w:val="0"/>
            <w:vAlign w:val="center"/>
          </w:tcPr>
          <w:p w14:paraId="4CDC41A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683" w:type="dxa"/>
            <w:noWrap w:val="0"/>
            <w:vAlign w:val="center"/>
          </w:tcPr>
          <w:p w14:paraId="4FB8BF7D">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49" w:type="dxa"/>
            <w:noWrap w:val="0"/>
            <w:vAlign w:val="center"/>
          </w:tcPr>
          <w:p w14:paraId="6CBCB446">
            <w:pPr>
              <w:snapToGrid w:val="0"/>
              <w:spacing w:line="320" w:lineRule="exact"/>
              <w:jc w:val="center"/>
              <w:rPr>
                <w:rFonts w:hint="eastAsia" w:asciiTheme="minorEastAsia" w:hAnsiTheme="minorEastAsia" w:eastAsiaTheme="minorEastAsia" w:cstheme="minorEastAsia"/>
                <w:sz w:val="21"/>
                <w:szCs w:val="21"/>
              </w:rPr>
            </w:pPr>
          </w:p>
        </w:tc>
      </w:tr>
      <w:tr w14:paraId="1BFA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noWrap w:val="0"/>
            <w:vAlign w:val="center"/>
          </w:tcPr>
          <w:p w14:paraId="6F750FA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225" w:type="dxa"/>
            <w:noWrap w:val="0"/>
            <w:vAlign w:val="center"/>
          </w:tcPr>
          <w:p w14:paraId="6915667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落锤冲击试验</w:t>
            </w:r>
          </w:p>
        </w:tc>
        <w:tc>
          <w:tcPr>
            <w:tcW w:w="1559" w:type="dxa"/>
            <w:noWrap w:val="0"/>
            <w:vAlign w:val="center"/>
          </w:tcPr>
          <w:p w14:paraId="3F3B5C4A">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5836.1-20</w:t>
            </w:r>
            <w:r>
              <w:rPr>
                <w:rFonts w:hint="eastAsia" w:asciiTheme="minorEastAsia" w:hAnsiTheme="minorEastAsia" w:eastAsiaTheme="minorEastAsia" w:cstheme="minorEastAsia"/>
                <w:sz w:val="21"/>
                <w:szCs w:val="21"/>
                <w:lang w:val="en-US" w:eastAsia="zh-CN"/>
              </w:rPr>
              <w:t>18</w:t>
            </w:r>
          </w:p>
        </w:tc>
        <w:tc>
          <w:tcPr>
            <w:tcW w:w="1559" w:type="dxa"/>
            <w:noWrap w:val="0"/>
            <w:vAlign w:val="center"/>
          </w:tcPr>
          <w:p w14:paraId="7E4E536A">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14152-2001</w:t>
            </w:r>
          </w:p>
        </w:tc>
        <w:tc>
          <w:tcPr>
            <w:tcW w:w="1843" w:type="dxa"/>
            <w:noWrap w:val="0"/>
            <w:vAlign w:val="center"/>
          </w:tcPr>
          <w:p w14:paraId="7812CC8D">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落锤冲击试验机/1台</w:t>
            </w:r>
          </w:p>
        </w:tc>
        <w:tc>
          <w:tcPr>
            <w:tcW w:w="892" w:type="dxa"/>
            <w:noWrap w:val="0"/>
            <w:vAlign w:val="center"/>
          </w:tcPr>
          <w:p w14:paraId="6F1BD0F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683" w:type="dxa"/>
            <w:noWrap w:val="0"/>
            <w:vAlign w:val="center"/>
          </w:tcPr>
          <w:p w14:paraId="16AFEF60">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49" w:type="dxa"/>
            <w:noWrap w:val="0"/>
            <w:vAlign w:val="center"/>
          </w:tcPr>
          <w:p w14:paraId="4063C644">
            <w:pPr>
              <w:snapToGrid w:val="0"/>
              <w:spacing w:line="320" w:lineRule="exact"/>
              <w:jc w:val="center"/>
              <w:rPr>
                <w:rFonts w:hint="eastAsia" w:asciiTheme="minorEastAsia" w:hAnsiTheme="minorEastAsia" w:eastAsiaTheme="minorEastAsia" w:cstheme="minorEastAsia"/>
                <w:sz w:val="21"/>
                <w:szCs w:val="21"/>
              </w:rPr>
            </w:pPr>
          </w:p>
        </w:tc>
      </w:tr>
    </w:tbl>
    <w:p w14:paraId="559986E3">
      <w:pPr>
        <w:snapToGrid w:val="0"/>
        <w:spacing w:line="324"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.1.3给水用聚乙烯（PE）管材检验项目及重要程度分类见表</w:t>
      </w:r>
      <w:r>
        <w:rPr>
          <w:rFonts w:hint="eastAsia" w:asciiTheme="minorEastAsia" w:hAnsiTheme="minorEastAsia" w:eastAsiaTheme="minorEastAsia" w:cstheme="minorEastAsia"/>
          <w:sz w:val="21"/>
          <w:szCs w:val="21"/>
          <w:lang w:val="en-US" w:eastAsia="zh-CN"/>
        </w:rPr>
        <w:t>3</w:t>
      </w:r>
    </w:p>
    <w:p w14:paraId="3E342E46">
      <w:pPr>
        <w:snapToGrid w:val="0"/>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给水用聚乙烯（PE）管材检验项目及重要程度分类</w:t>
      </w:r>
    </w:p>
    <w:tbl>
      <w:tblPr>
        <w:tblStyle w:val="10"/>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13"/>
        <w:gridCol w:w="1210"/>
        <w:gridCol w:w="1483"/>
        <w:gridCol w:w="1689"/>
        <w:gridCol w:w="1575"/>
        <w:gridCol w:w="798"/>
        <w:gridCol w:w="722"/>
        <w:gridCol w:w="746"/>
      </w:tblGrid>
      <w:tr w14:paraId="3619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251" w:type="pct"/>
            <w:vMerge w:val="restart"/>
            <w:noWrap w:val="0"/>
            <w:vAlign w:val="center"/>
          </w:tcPr>
          <w:p w14:paraId="70F3FFEA">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12" w:type="pct"/>
            <w:vMerge w:val="restart"/>
            <w:noWrap w:val="0"/>
            <w:vAlign w:val="center"/>
          </w:tcPr>
          <w:p w14:paraId="45E259DB">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w:t>
            </w:r>
          </w:p>
        </w:tc>
        <w:tc>
          <w:tcPr>
            <w:tcW w:w="870" w:type="pct"/>
            <w:vMerge w:val="restart"/>
            <w:noWrap w:val="0"/>
            <w:vAlign w:val="center"/>
          </w:tcPr>
          <w:p w14:paraId="1F71177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依据法律法规</w:t>
            </w:r>
          </w:p>
          <w:p w14:paraId="796D73CE">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或标准</w:t>
            </w:r>
          </w:p>
        </w:tc>
        <w:tc>
          <w:tcPr>
            <w:tcW w:w="894" w:type="pct"/>
            <w:vMerge w:val="restart"/>
            <w:noWrap w:val="0"/>
            <w:vAlign w:val="center"/>
          </w:tcPr>
          <w:p w14:paraId="7F04191B">
            <w:pPr>
              <w:pStyle w:val="8"/>
              <w:pBdr>
                <w:bottom w:val="none" w:color="auto" w:sz="0" w:space="0"/>
              </w:pBdr>
              <w:tabs>
                <w:tab w:val="clear" w:pos="4153"/>
                <w:tab w:val="clear" w:pos="8306"/>
              </w:tabs>
              <w:snapToGrid/>
              <w:spacing w:line="324"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检测方法</w:t>
            </w:r>
          </w:p>
        </w:tc>
        <w:tc>
          <w:tcPr>
            <w:tcW w:w="923" w:type="pct"/>
            <w:vMerge w:val="restart"/>
            <w:noWrap w:val="0"/>
            <w:vAlign w:val="center"/>
          </w:tcPr>
          <w:p w14:paraId="40610B32">
            <w:pPr>
              <w:pStyle w:val="8"/>
              <w:pBdr>
                <w:bottom w:val="none" w:color="auto" w:sz="0" w:space="0"/>
              </w:pBdr>
              <w:tabs>
                <w:tab w:val="clear" w:pos="4153"/>
                <w:tab w:val="clear" w:pos="8306"/>
              </w:tabs>
              <w:snapToGrid/>
              <w:spacing w:line="324"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主要关键检测设备/台数</w:t>
            </w:r>
          </w:p>
        </w:tc>
        <w:tc>
          <w:tcPr>
            <w:tcW w:w="473" w:type="pct"/>
            <w:vMerge w:val="restart"/>
            <w:noWrap w:val="0"/>
            <w:vAlign w:val="center"/>
          </w:tcPr>
          <w:p w14:paraId="01A5A257">
            <w:pPr>
              <w:pStyle w:val="8"/>
              <w:pBdr>
                <w:bottom w:val="none" w:color="auto" w:sz="0" w:space="0"/>
              </w:pBdr>
              <w:tabs>
                <w:tab w:val="clear" w:pos="4153"/>
                <w:tab w:val="clear" w:pos="8306"/>
              </w:tabs>
              <w:snapToGrid/>
              <w:spacing w:line="324"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检验过程是否需要电子记录或影像记录</w:t>
            </w:r>
          </w:p>
        </w:tc>
        <w:tc>
          <w:tcPr>
            <w:tcW w:w="872" w:type="pct"/>
            <w:gridSpan w:val="2"/>
            <w:tcBorders>
              <w:bottom w:val="single" w:color="auto" w:sz="4" w:space="0"/>
            </w:tcBorders>
            <w:noWrap w:val="0"/>
            <w:vAlign w:val="center"/>
          </w:tcPr>
          <w:p w14:paraId="56CFFAD8">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重要程度分类</w:t>
            </w:r>
          </w:p>
        </w:tc>
      </w:tr>
      <w:tr w14:paraId="4131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251" w:type="pct"/>
            <w:vMerge w:val="continue"/>
            <w:tcBorders>
              <w:bottom w:val="single" w:color="auto" w:sz="4" w:space="0"/>
            </w:tcBorders>
            <w:noWrap w:val="0"/>
            <w:vAlign w:val="center"/>
          </w:tcPr>
          <w:p w14:paraId="44B0C3F7">
            <w:pPr>
              <w:spacing w:line="324" w:lineRule="auto"/>
              <w:jc w:val="center"/>
              <w:rPr>
                <w:rFonts w:hint="eastAsia" w:asciiTheme="minorEastAsia" w:hAnsiTheme="minorEastAsia" w:eastAsiaTheme="minorEastAsia" w:cstheme="minorEastAsia"/>
                <w:sz w:val="21"/>
                <w:szCs w:val="21"/>
              </w:rPr>
            </w:pPr>
          </w:p>
        </w:tc>
        <w:tc>
          <w:tcPr>
            <w:tcW w:w="712" w:type="pct"/>
            <w:vMerge w:val="continue"/>
            <w:tcBorders>
              <w:bottom w:val="single" w:color="auto" w:sz="4" w:space="0"/>
            </w:tcBorders>
            <w:noWrap w:val="0"/>
            <w:vAlign w:val="center"/>
          </w:tcPr>
          <w:p w14:paraId="3CA3DBC3">
            <w:pPr>
              <w:spacing w:line="324" w:lineRule="auto"/>
              <w:jc w:val="center"/>
              <w:rPr>
                <w:rFonts w:hint="eastAsia" w:asciiTheme="minorEastAsia" w:hAnsiTheme="minorEastAsia" w:eastAsiaTheme="minorEastAsia" w:cstheme="minorEastAsia"/>
                <w:sz w:val="21"/>
                <w:szCs w:val="21"/>
              </w:rPr>
            </w:pPr>
          </w:p>
        </w:tc>
        <w:tc>
          <w:tcPr>
            <w:tcW w:w="870" w:type="pct"/>
            <w:vMerge w:val="continue"/>
            <w:tcBorders>
              <w:bottom w:val="single" w:color="auto" w:sz="4" w:space="0"/>
            </w:tcBorders>
            <w:noWrap w:val="0"/>
            <w:vAlign w:val="center"/>
          </w:tcPr>
          <w:p w14:paraId="3FFCA01E">
            <w:pPr>
              <w:spacing w:line="324" w:lineRule="auto"/>
              <w:jc w:val="center"/>
              <w:rPr>
                <w:rFonts w:hint="eastAsia" w:asciiTheme="minorEastAsia" w:hAnsiTheme="minorEastAsia" w:eastAsiaTheme="minorEastAsia" w:cstheme="minorEastAsia"/>
                <w:sz w:val="21"/>
                <w:szCs w:val="21"/>
              </w:rPr>
            </w:pPr>
          </w:p>
        </w:tc>
        <w:tc>
          <w:tcPr>
            <w:tcW w:w="894" w:type="pct"/>
            <w:vMerge w:val="continue"/>
            <w:tcBorders>
              <w:bottom w:val="single" w:color="auto" w:sz="4" w:space="0"/>
            </w:tcBorders>
            <w:noWrap w:val="0"/>
            <w:vAlign w:val="center"/>
          </w:tcPr>
          <w:p w14:paraId="0025BC4E">
            <w:pPr>
              <w:spacing w:line="324" w:lineRule="auto"/>
              <w:jc w:val="center"/>
              <w:rPr>
                <w:rFonts w:hint="eastAsia" w:asciiTheme="minorEastAsia" w:hAnsiTheme="minorEastAsia" w:eastAsiaTheme="minorEastAsia" w:cstheme="minorEastAsia"/>
                <w:sz w:val="21"/>
                <w:szCs w:val="21"/>
              </w:rPr>
            </w:pPr>
          </w:p>
        </w:tc>
        <w:tc>
          <w:tcPr>
            <w:tcW w:w="923" w:type="pct"/>
            <w:vMerge w:val="continue"/>
            <w:tcBorders>
              <w:bottom w:val="single" w:color="auto" w:sz="4" w:space="0"/>
            </w:tcBorders>
            <w:noWrap w:val="0"/>
            <w:vAlign w:val="center"/>
          </w:tcPr>
          <w:p w14:paraId="44C395BA">
            <w:pPr>
              <w:spacing w:line="324" w:lineRule="auto"/>
              <w:jc w:val="center"/>
              <w:rPr>
                <w:rFonts w:hint="eastAsia" w:asciiTheme="minorEastAsia" w:hAnsiTheme="minorEastAsia" w:eastAsiaTheme="minorEastAsia" w:cstheme="minorEastAsia"/>
                <w:sz w:val="21"/>
                <w:szCs w:val="21"/>
              </w:rPr>
            </w:pPr>
          </w:p>
        </w:tc>
        <w:tc>
          <w:tcPr>
            <w:tcW w:w="473" w:type="pct"/>
            <w:vMerge w:val="continue"/>
            <w:tcBorders>
              <w:bottom w:val="single" w:color="auto" w:sz="4" w:space="0"/>
            </w:tcBorders>
            <w:noWrap w:val="0"/>
            <w:vAlign w:val="center"/>
          </w:tcPr>
          <w:p w14:paraId="29A3A792">
            <w:pPr>
              <w:spacing w:line="324" w:lineRule="auto"/>
              <w:jc w:val="center"/>
              <w:rPr>
                <w:rFonts w:hint="eastAsia" w:asciiTheme="minorEastAsia" w:hAnsiTheme="minorEastAsia" w:eastAsiaTheme="minorEastAsia" w:cstheme="minorEastAsia"/>
                <w:sz w:val="21"/>
                <w:szCs w:val="21"/>
              </w:rPr>
            </w:pPr>
          </w:p>
        </w:tc>
        <w:tc>
          <w:tcPr>
            <w:tcW w:w="429" w:type="pct"/>
            <w:tcBorders>
              <w:bottom w:val="single" w:color="auto" w:sz="4" w:space="0"/>
            </w:tcBorders>
            <w:noWrap w:val="0"/>
            <w:vAlign w:val="center"/>
          </w:tcPr>
          <w:p w14:paraId="1BFE4304">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A类a</w:t>
            </w:r>
          </w:p>
        </w:tc>
        <w:tc>
          <w:tcPr>
            <w:tcW w:w="442" w:type="pct"/>
            <w:tcBorders>
              <w:bottom w:val="single" w:color="auto" w:sz="4" w:space="0"/>
            </w:tcBorders>
            <w:noWrap w:val="0"/>
            <w:vAlign w:val="center"/>
          </w:tcPr>
          <w:p w14:paraId="5DB5D137">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B类b</w:t>
            </w:r>
          </w:p>
        </w:tc>
      </w:tr>
      <w:tr w14:paraId="035C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251" w:type="pct"/>
            <w:noWrap w:val="0"/>
            <w:vAlign w:val="center"/>
          </w:tcPr>
          <w:p w14:paraId="1C078233">
            <w:pPr>
              <w:spacing w:line="324"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712" w:type="pct"/>
            <w:noWrap w:val="0"/>
            <w:vAlign w:val="center"/>
          </w:tcPr>
          <w:p w14:paraId="731A2817">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静液压试验20℃ 100h</w:t>
            </w:r>
          </w:p>
        </w:tc>
        <w:tc>
          <w:tcPr>
            <w:tcW w:w="870" w:type="pct"/>
            <w:noWrap w:val="0"/>
            <w:vAlign w:val="center"/>
          </w:tcPr>
          <w:p w14:paraId="44DF5F48">
            <w:pPr>
              <w:spacing w:line="324"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GB/T 13663-20</w:t>
            </w:r>
            <w:r>
              <w:rPr>
                <w:rFonts w:hint="eastAsia" w:asciiTheme="minorEastAsia" w:hAnsiTheme="minorEastAsia" w:cstheme="minorEastAsia"/>
                <w:sz w:val="21"/>
                <w:szCs w:val="21"/>
                <w:lang w:val="en-US" w:eastAsia="zh-CN"/>
              </w:rPr>
              <w:t>18</w:t>
            </w:r>
          </w:p>
        </w:tc>
        <w:tc>
          <w:tcPr>
            <w:tcW w:w="894" w:type="pct"/>
            <w:noWrap w:val="0"/>
            <w:vAlign w:val="center"/>
          </w:tcPr>
          <w:p w14:paraId="66FC2AD4">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6111-2003</w:t>
            </w:r>
          </w:p>
        </w:tc>
        <w:tc>
          <w:tcPr>
            <w:tcW w:w="923" w:type="pct"/>
            <w:noWrap w:val="0"/>
            <w:vAlign w:val="center"/>
          </w:tcPr>
          <w:p w14:paraId="0BF7E413">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微机控制静液压试验机/1台</w:t>
            </w:r>
          </w:p>
        </w:tc>
        <w:tc>
          <w:tcPr>
            <w:tcW w:w="473" w:type="pct"/>
            <w:noWrap w:val="0"/>
            <w:vAlign w:val="center"/>
          </w:tcPr>
          <w:p w14:paraId="19DBF5CD">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429" w:type="pct"/>
            <w:noWrap w:val="0"/>
            <w:vAlign w:val="center"/>
          </w:tcPr>
          <w:p w14:paraId="3E61880C">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42" w:type="pct"/>
            <w:noWrap w:val="0"/>
            <w:vAlign w:val="center"/>
          </w:tcPr>
          <w:p w14:paraId="039E8FE7">
            <w:pPr>
              <w:pStyle w:val="8"/>
              <w:pBdr>
                <w:bottom w:val="none" w:color="auto" w:sz="0" w:space="0"/>
              </w:pBdr>
              <w:tabs>
                <w:tab w:val="clear" w:pos="4153"/>
                <w:tab w:val="clear" w:pos="8306"/>
              </w:tabs>
              <w:snapToGrid/>
              <w:spacing w:line="324" w:lineRule="auto"/>
              <w:rPr>
                <w:rFonts w:hint="eastAsia" w:asciiTheme="minorEastAsia" w:hAnsiTheme="minorEastAsia" w:eastAsiaTheme="minorEastAsia" w:cstheme="minorEastAsia"/>
                <w:sz w:val="21"/>
                <w:szCs w:val="21"/>
                <w:lang w:val="en-US" w:eastAsia="zh-CN"/>
              </w:rPr>
            </w:pPr>
          </w:p>
        </w:tc>
      </w:tr>
      <w:tr w14:paraId="5A57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251" w:type="pct"/>
            <w:noWrap w:val="0"/>
            <w:vAlign w:val="center"/>
          </w:tcPr>
          <w:p w14:paraId="7DEE28D4">
            <w:pPr>
              <w:spacing w:line="324"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712" w:type="pct"/>
            <w:noWrap w:val="0"/>
            <w:vAlign w:val="center"/>
          </w:tcPr>
          <w:p w14:paraId="4B5B1800">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断裂伸长率</w:t>
            </w:r>
          </w:p>
        </w:tc>
        <w:tc>
          <w:tcPr>
            <w:tcW w:w="870" w:type="pct"/>
            <w:noWrap w:val="0"/>
            <w:vAlign w:val="center"/>
          </w:tcPr>
          <w:p w14:paraId="3D1BAD40">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13663-20</w:t>
            </w:r>
            <w:r>
              <w:rPr>
                <w:rFonts w:hint="eastAsia" w:asciiTheme="minorEastAsia" w:hAnsiTheme="minorEastAsia" w:cstheme="minorEastAsia"/>
                <w:sz w:val="21"/>
                <w:szCs w:val="21"/>
                <w:lang w:val="en-US" w:eastAsia="zh-CN"/>
              </w:rPr>
              <w:t>18</w:t>
            </w:r>
          </w:p>
        </w:tc>
        <w:tc>
          <w:tcPr>
            <w:tcW w:w="894" w:type="pct"/>
            <w:noWrap w:val="0"/>
            <w:vAlign w:val="center"/>
          </w:tcPr>
          <w:p w14:paraId="6700E0AB">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8804.3--2003</w:t>
            </w:r>
          </w:p>
        </w:tc>
        <w:tc>
          <w:tcPr>
            <w:tcW w:w="923" w:type="pct"/>
            <w:noWrap w:val="0"/>
            <w:vAlign w:val="center"/>
          </w:tcPr>
          <w:p w14:paraId="04024601">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微机控制电子万能试验机/1台</w:t>
            </w:r>
          </w:p>
        </w:tc>
        <w:tc>
          <w:tcPr>
            <w:tcW w:w="473" w:type="pct"/>
            <w:noWrap w:val="0"/>
            <w:vAlign w:val="center"/>
          </w:tcPr>
          <w:p w14:paraId="0239224A">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429" w:type="pct"/>
            <w:noWrap w:val="0"/>
            <w:vAlign w:val="center"/>
          </w:tcPr>
          <w:p w14:paraId="3B53AE74">
            <w:pPr>
              <w:spacing w:line="324" w:lineRule="auto"/>
              <w:jc w:val="center"/>
              <w:rPr>
                <w:rFonts w:hint="eastAsia" w:asciiTheme="minorEastAsia" w:hAnsiTheme="minorEastAsia" w:eastAsiaTheme="minorEastAsia" w:cstheme="minorEastAsia"/>
                <w:sz w:val="21"/>
                <w:szCs w:val="21"/>
              </w:rPr>
            </w:pPr>
          </w:p>
        </w:tc>
        <w:tc>
          <w:tcPr>
            <w:tcW w:w="442" w:type="pct"/>
            <w:noWrap w:val="0"/>
            <w:vAlign w:val="center"/>
          </w:tcPr>
          <w:p w14:paraId="40634082">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6111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251" w:type="pct"/>
            <w:noWrap w:val="0"/>
            <w:vAlign w:val="center"/>
          </w:tcPr>
          <w:p w14:paraId="6E7781EA">
            <w:pPr>
              <w:spacing w:line="324"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712" w:type="pct"/>
            <w:noWrap w:val="0"/>
            <w:vAlign w:val="center"/>
          </w:tcPr>
          <w:p w14:paraId="522E1D03">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纵向回缩率</w:t>
            </w:r>
          </w:p>
        </w:tc>
        <w:tc>
          <w:tcPr>
            <w:tcW w:w="870" w:type="pct"/>
            <w:noWrap w:val="0"/>
            <w:vAlign w:val="center"/>
          </w:tcPr>
          <w:p w14:paraId="177510DD">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13663-20</w:t>
            </w:r>
            <w:r>
              <w:rPr>
                <w:rFonts w:hint="eastAsia" w:asciiTheme="minorEastAsia" w:hAnsiTheme="minorEastAsia" w:cstheme="minorEastAsia"/>
                <w:sz w:val="21"/>
                <w:szCs w:val="21"/>
                <w:lang w:val="en-US" w:eastAsia="zh-CN"/>
              </w:rPr>
              <w:t>18</w:t>
            </w:r>
          </w:p>
        </w:tc>
        <w:tc>
          <w:tcPr>
            <w:tcW w:w="894" w:type="pct"/>
            <w:noWrap w:val="0"/>
            <w:vAlign w:val="center"/>
          </w:tcPr>
          <w:p w14:paraId="26953796">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6671-2001</w:t>
            </w:r>
          </w:p>
        </w:tc>
        <w:tc>
          <w:tcPr>
            <w:tcW w:w="923" w:type="pct"/>
            <w:noWrap w:val="0"/>
            <w:vAlign w:val="center"/>
          </w:tcPr>
          <w:p w14:paraId="6EF289C7">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电热鼓风干燥箱/2台</w:t>
            </w:r>
          </w:p>
          <w:p w14:paraId="21EB6FA8">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游标卡尺/2台</w:t>
            </w:r>
          </w:p>
        </w:tc>
        <w:tc>
          <w:tcPr>
            <w:tcW w:w="473" w:type="pct"/>
            <w:noWrap w:val="0"/>
            <w:vAlign w:val="center"/>
          </w:tcPr>
          <w:p w14:paraId="02783288">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429" w:type="pct"/>
            <w:noWrap w:val="0"/>
            <w:vAlign w:val="center"/>
          </w:tcPr>
          <w:p w14:paraId="5469A3B5">
            <w:pPr>
              <w:spacing w:line="324" w:lineRule="auto"/>
              <w:jc w:val="center"/>
              <w:rPr>
                <w:rFonts w:hint="eastAsia" w:asciiTheme="minorEastAsia" w:hAnsiTheme="minorEastAsia" w:eastAsiaTheme="minorEastAsia" w:cstheme="minorEastAsia"/>
                <w:sz w:val="21"/>
                <w:szCs w:val="21"/>
              </w:rPr>
            </w:pPr>
          </w:p>
        </w:tc>
        <w:tc>
          <w:tcPr>
            <w:tcW w:w="442" w:type="pct"/>
            <w:noWrap w:val="0"/>
            <w:vAlign w:val="center"/>
          </w:tcPr>
          <w:p w14:paraId="39A755B3">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4F2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blHeader/>
          <w:jc w:val="center"/>
        </w:trPr>
        <w:tc>
          <w:tcPr>
            <w:tcW w:w="251" w:type="pct"/>
            <w:noWrap w:val="0"/>
            <w:vAlign w:val="center"/>
          </w:tcPr>
          <w:p w14:paraId="198E2E89">
            <w:pPr>
              <w:spacing w:line="324"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712" w:type="pct"/>
            <w:noWrap w:val="0"/>
            <w:vAlign w:val="center"/>
          </w:tcPr>
          <w:p w14:paraId="1ADF6835">
            <w:pPr>
              <w:spacing w:line="324"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灰分</w:t>
            </w:r>
          </w:p>
        </w:tc>
        <w:tc>
          <w:tcPr>
            <w:tcW w:w="870" w:type="pct"/>
            <w:noWrap w:val="0"/>
            <w:vAlign w:val="center"/>
          </w:tcPr>
          <w:p w14:paraId="45CA6F0B">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13663-20</w:t>
            </w:r>
            <w:r>
              <w:rPr>
                <w:rFonts w:hint="eastAsia" w:asciiTheme="minorEastAsia" w:hAnsiTheme="minorEastAsia" w:cstheme="minorEastAsia"/>
                <w:sz w:val="21"/>
                <w:szCs w:val="21"/>
                <w:lang w:val="en-US" w:eastAsia="zh-CN"/>
              </w:rPr>
              <w:t>18</w:t>
            </w:r>
          </w:p>
        </w:tc>
        <w:tc>
          <w:tcPr>
            <w:tcW w:w="894" w:type="pct"/>
            <w:noWrap w:val="0"/>
            <w:vAlign w:val="center"/>
          </w:tcPr>
          <w:p w14:paraId="2542EC37">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GB/T9345.1-2008</w:t>
            </w:r>
          </w:p>
        </w:tc>
        <w:tc>
          <w:tcPr>
            <w:tcW w:w="923" w:type="pct"/>
            <w:noWrap w:val="0"/>
            <w:vAlign w:val="center"/>
          </w:tcPr>
          <w:p w14:paraId="5C58499F">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箱式电阻炉</w:t>
            </w:r>
            <w:r>
              <w:rPr>
                <w:rFonts w:hint="eastAsia" w:asciiTheme="minorEastAsia" w:hAnsiTheme="minorEastAsia" w:eastAsiaTheme="minorEastAsia" w:cstheme="minorEastAsia"/>
                <w:sz w:val="21"/>
                <w:szCs w:val="21"/>
              </w:rPr>
              <w:t>/1台</w:t>
            </w:r>
          </w:p>
        </w:tc>
        <w:tc>
          <w:tcPr>
            <w:tcW w:w="473" w:type="pct"/>
            <w:noWrap w:val="0"/>
            <w:vAlign w:val="center"/>
          </w:tcPr>
          <w:p w14:paraId="56342190">
            <w:pPr>
              <w:spacing w:line="32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429" w:type="pct"/>
            <w:noWrap w:val="0"/>
            <w:vAlign w:val="center"/>
          </w:tcPr>
          <w:p w14:paraId="32E51544">
            <w:pPr>
              <w:spacing w:line="324" w:lineRule="auto"/>
              <w:jc w:val="center"/>
              <w:rPr>
                <w:rFonts w:hint="eastAsia" w:asciiTheme="minorEastAsia" w:hAnsiTheme="minorEastAsia" w:eastAsiaTheme="minorEastAsia" w:cstheme="minorEastAsia"/>
                <w:sz w:val="21"/>
                <w:szCs w:val="21"/>
              </w:rPr>
            </w:pPr>
          </w:p>
        </w:tc>
        <w:tc>
          <w:tcPr>
            <w:tcW w:w="442" w:type="pct"/>
            <w:noWrap w:val="0"/>
            <w:vAlign w:val="center"/>
          </w:tcPr>
          <w:p w14:paraId="3D747F56">
            <w:pPr>
              <w:spacing w:line="324" w:lineRule="auto"/>
              <w:jc w:val="center"/>
              <w:rPr>
                <w:rFonts w:hint="eastAsia" w:asciiTheme="minorEastAsia" w:hAnsiTheme="minorEastAsia" w:eastAsiaTheme="minorEastAsia" w:cstheme="minorEastAsia"/>
                <w:sz w:val="21"/>
                <w:szCs w:val="21"/>
              </w:rPr>
            </w:pPr>
          </w:p>
        </w:tc>
      </w:tr>
    </w:tbl>
    <w:p w14:paraId="68C17B21">
      <w:pPr>
        <w:snapToGrid w:val="0"/>
        <w:spacing w:line="480" w:lineRule="exact"/>
        <w:ind w:firstLine="417" w:firstLineChars="1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注：a:极重要质量项目是指直接涉及人体健康、使用安全的指标；重要质量项目是指产品涉及环保、能效、关键性能或特征值的指标。</w:t>
      </w:r>
    </w:p>
    <w:p w14:paraId="41A4C12A">
      <w:pPr>
        <w:spacing w:line="480" w:lineRule="exact"/>
        <w:ind w:firstLine="735" w:firstLineChars="3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b:上表所列检验项目是有关法律法规、标准等规定的，重点涉及健康、安全、节能、环保以及消费者、有关组织反映有质量问题的重要项目。</w:t>
      </w:r>
    </w:p>
    <w:p w14:paraId="6B47D34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6.2 质量判定</w:t>
      </w:r>
    </w:p>
    <w:p w14:paraId="4E157483">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若被检产品明示的质量要求高于本细则中检验项目依据的标准要求时，应当按被检产品明示的质量要求判定。</w:t>
      </w:r>
    </w:p>
    <w:p w14:paraId="1D460110">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若被检产品明示的质量要求低于或包含细则中检验项目依据的推荐性标准要求时，应当以被检产品明示的质量要求判定。</w:t>
      </w:r>
    </w:p>
    <w:p w14:paraId="379F3131">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若被检产品明示的质量要求缺少本细则中检验项目依据的强制性标准要求时，应当按照强制性标准要求判定。</w:t>
      </w:r>
    </w:p>
    <w:p w14:paraId="45A04728">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无法识别产品标准版本的，按新版标准实施，企业提供有效证据的除外。</w:t>
      </w:r>
    </w:p>
    <w:p w14:paraId="35563325">
      <w:pPr>
        <w:spacing w:line="360" w:lineRule="auto"/>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 xml:space="preserve">. </w:t>
      </w:r>
      <w:r>
        <w:rPr>
          <w:rFonts w:hint="eastAsia" w:asciiTheme="minorEastAsia" w:hAnsiTheme="minorEastAsia"/>
          <w:sz w:val="28"/>
          <w:szCs w:val="28"/>
        </w:rPr>
        <w:t>判定原则</w:t>
      </w:r>
    </w:p>
    <w:p w14:paraId="1A5F5A63">
      <w:pPr>
        <w:pStyle w:val="17"/>
        <w:spacing w:line="560" w:lineRule="exact"/>
        <w:ind w:firstLine="560"/>
        <w:rPr>
          <w:rFonts w:hint="eastAsia" w:asciiTheme="minorEastAsia" w:hAnsiTheme="minorEastAsia" w:eastAsiaTheme="minorEastAsia" w:cstheme="minorBidi"/>
          <w:snapToGrid/>
          <w:spacing w:val="0"/>
          <w:kern w:val="2"/>
          <w:sz w:val="28"/>
          <w:szCs w:val="28"/>
        </w:rPr>
      </w:pPr>
      <w:r>
        <w:rPr>
          <w:rFonts w:hint="eastAsia" w:asciiTheme="minorEastAsia" w:hAnsiTheme="minorEastAsia" w:eastAsiaTheme="minorEastAsia" w:cstheme="minorBidi"/>
          <w:snapToGrid/>
          <w:spacing w:val="0"/>
          <w:kern w:val="2"/>
          <w:sz w:val="28"/>
          <w:szCs w:val="28"/>
        </w:rPr>
        <w:t>经检验，检验项目全部合格，判定为抽查产品合格；检验项目中任一项或一项以上不合格，判定为被抽查产品不合格。</w:t>
      </w:r>
    </w:p>
    <w:p w14:paraId="479554C8">
      <w:pPr>
        <w:pStyle w:val="17"/>
        <w:spacing w:line="560" w:lineRule="exact"/>
        <w:ind w:firstLine="560"/>
        <w:rPr>
          <w:rFonts w:cs="宋体" w:asciiTheme="minorEastAsia" w:hAnsiTheme="minorEastAsia" w:eastAsiaTheme="minorEastAsia"/>
          <w:sz w:val="28"/>
          <w:szCs w:val="28"/>
        </w:rPr>
      </w:pPr>
      <w:r>
        <w:rPr>
          <w:rFonts w:hint="eastAsia" w:asciiTheme="minorEastAsia" w:hAnsiTheme="minorEastAsia" w:eastAsiaTheme="minorEastAsia" w:cstheme="minorBidi"/>
          <w:snapToGrid/>
          <w:spacing w:val="0"/>
          <w:kern w:val="2"/>
          <w:sz w:val="28"/>
          <w:szCs w:val="28"/>
        </w:rPr>
        <w:t>检验检测报告结论用语按照《江苏省级产品质量监督抽查工作规范》附件12.2执行。</w:t>
      </w:r>
      <w:r>
        <w:rPr>
          <w:rFonts w:hint="eastAsia" w:cs="宋体" w:asciiTheme="minorEastAsia" w:hAnsiTheme="minorEastAsia" w:eastAsiaTheme="minorEastAsia"/>
          <w:sz w:val="28"/>
          <w:szCs w:val="28"/>
        </w:rPr>
        <w:t>”</w:t>
      </w:r>
    </w:p>
    <w:p w14:paraId="3D9C4EE4">
      <w:pPr>
        <w:pStyle w:val="17"/>
        <w:spacing w:line="560" w:lineRule="exact"/>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8.检验结果确认</w:t>
      </w:r>
    </w:p>
    <w:p w14:paraId="50C485A2">
      <w:pPr>
        <w:pStyle w:val="21"/>
        <w:numPr>
          <w:ilvl w:val="0"/>
          <w:numId w:val="0"/>
        </w:numPr>
        <w:ind w:firstLine="568" w:firstLineChars="200"/>
        <w:jc w:val="both"/>
        <w:rPr>
          <w:rFonts w:cs="宋体" w:asciiTheme="minorEastAsia" w:hAnsiTheme="minorEastAsia" w:eastAsiaTheme="minorEastAsia"/>
          <w:snapToGrid w:val="0"/>
          <w:spacing w:val="2"/>
          <w:sz w:val="28"/>
          <w:szCs w:val="28"/>
        </w:rPr>
      </w:pPr>
      <w:r>
        <w:rPr>
          <w:rFonts w:hint="eastAsia" w:cs="宋体" w:asciiTheme="minorEastAsia" w:hAnsiTheme="minorEastAsia" w:eastAsiaTheme="minorEastAsia"/>
          <w:snapToGrid w:val="0"/>
          <w:spacing w:val="2"/>
          <w:sz w:val="28"/>
          <w:szCs w:val="28"/>
        </w:rPr>
        <w:t>8.1承检机构应当在检验工作结束后将检验结果报送</w:t>
      </w:r>
      <w:r>
        <w:rPr>
          <w:rFonts w:hint="eastAsia" w:cs="宋体" w:asciiTheme="minorEastAsia" w:hAnsiTheme="minorEastAsia" w:eastAsiaTheme="minorEastAsia"/>
          <w:snapToGrid w:val="0"/>
          <w:spacing w:val="2"/>
          <w:sz w:val="28"/>
          <w:szCs w:val="28"/>
          <w:lang w:val="en-US" w:eastAsia="zh-CN"/>
        </w:rPr>
        <w:t>海州区</w:t>
      </w:r>
      <w:r>
        <w:rPr>
          <w:rFonts w:hint="eastAsia" w:cs="宋体" w:asciiTheme="minorEastAsia" w:hAnsiTheme="minorEastAsia" w:eastAsiaTheme="minorEastAsia"/>
          <w:snapToGrid w:val="0"/>
          <w:spacing w:val="2"/>
          <w:sz w:val="28"/>
          <w:szCs w:val="28"/>
        </w:rPr>
        <w:t>市场监管部门，协助其将《产品质量监督抽查结果通知单》寄送受检企业。</w:t>
      </w:r>
    </w:p>
    <w:p w14:paraId="1E71E560">
      <w:pPr>
        <w:pStyle w:val="21"/>
        <w:numPr>
          <w:ilvl w:val="0"/>
          <w:numId w:val="0"/>
        </w:numPr>
        <w:ind w:firstLine="568" w:firstLineChars="200"/>
        <w:jc w:val="both"/>
        <w:rPr>
          <w:rFonts w:cs="宋体" w:asciiTheme="minorEastAsia" w:hAnsiTheme="minorEastAsia" w:eastAsiaTheme="minorEastAsia"/>
          <w:snapToGrid w:val="0"/>
          <w:spacing w:val="2"/>
          <w:sz w:val="28"/>
          <w:szCs w:val="28"/>
        </w:rPr>
      </w:pPr>
      <w:r>
        <w:rPr>
          <w:rFonts w:hint="eastAsia" w:cs="宋体" w:asciiTheme="minorEastAsia" w:hAnsiTheme="minorEastAsia" w:eastAsiaTheme="minorEastAsia"/>
          <w:snapToGrid w:val="0"/>
          <w:spacing w:val="2"/>
          <w:sz w:val="28"/>
          <w:szCs w:val="28"/>
        </w:rPr>
        <w:t>8.2受检企业应当在收到《产品质量监督抽查结果通知单》之日起15日内，向</w:t>
      </w:r>
      <w:r>
        <w:rPr>
          <w:rFonts w:hint="eastAsia" w:cs="宋体" w:asciiTheme="minorEastAsia" w:hAnsiTheme="minorEastAsia" w:eastAsiaTheme="minorEastAsia"/>
          <w:snapToGrid w:val="0"/>
          <w:spacing w:val="2"/>
          <w:sz w:val="28"/>
          <w:szCs w:val="28"/>
          <w:lang w:val="en-US" w:eastAsia="zh-CN"/>
        </w:rPr>
        <w:t>海州区</w:t>
      </w:r>
      <w:r>
        <w:rPr>
          <w:rFonts w:hint="eastAsia" w:cs="宋体" w:asciiTheme="minorEastAsia" w:hAnsiTheme="minorEastAsia" w:eastAsiaTheme="minorEastAsia"/>
          <w:snapToGrid w:val="0"/>
          <w:spacing w:val="2"/>
          <w:sz w:val="28"/>
          <w:szCs w:val="28"/>
        </w:rPr>
        <w:t>市场监管部门书面反馈检验结果确认情况。逾期未书面反馈或者拒绝签收《产品质量监督抽查结果通知单》的，视为认可检验结果。</w:t>
      </w:r>
    </w:p>
    <w:p w14:paraId="4CE1C855">
      <w:pPr>
        <w:snapToGrid w:val="0"/>
        <w:spacing w:line="560" w:lineRule="exact"/>
        <w:rPr>
          <w:rFonts w:cs="宋体" w:asciiTheme="minorEastAsia" w:hAnsiTheme="minorEastAsia"/>
          <w:sz w:val="28"/>
          <w:szCs w:val="28"/>
        </w:rPr>
      </w:pPr>
      <w:r>
        <w:rPr>
          <w:rFonts w:hint="eastAsia" w:cs="宋体" w:asciiTheme="minorEastAsia" w:hAnsiTheme="minorEastAsia"/>
          <w:sz w:val="28"/>
          <w:szCs w:val="28"/>
        </w:rPr>
        <w:t>9.异议处理</w:t>
      </w:r>
    </w:p>
    <w:p w14:paraId="5BD0856C">
      <w:pPr>
        <w:snapToGrid w:val="0"/>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9.1受检企业收到《产品质量监督抽查结果通知单》之日起15日内，对检验结果有异议的，应当向</w:t>
      </w:r>
      <w:r>
        <w:rPr>
          <w:rFonts w:hint="eastAsia" w:cs="宋体" w:asciiTheme="minorEastAsia" w:hAnsiTheme="minorEastAsia"/>
          <w:sz w:val="28"/>
          <w:szCs w:val="28"/>
          <w:lang w:val="en-US" w:eastAsia="zh-CN"/>
        </w:rPr>
        <w:t>海州区</w:t>
      </w:r>
      <w:bookmarkStart w:id="0" w:name="_GoBack"/>
      <w:bookmarkEnd w:id="0"/>
      <w:r>
        <w:rPr>
          <w:rFonts w:hint="eastAsia" w:cs="宋体" w:asciiTheme="minorEastAsia" w:hAnsiTheme="minorEastAsia"/>
          <w:sz w:val="28"/>
          <w:szCs w:val="28"/>
        </w:rPr>
        <w:t>市场监管部门提出书面异议，并提供相关证明材料。</w:t>
      </w:r>
    </w:p>
    <w:p w14:paraId="335FB927">
      <w:pPr>
        <w:snapToGrid w:val="0"/>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9.2收到受检企业异议申请后，市场监管部门应当作出受理或者不受理的决定，并制作《产品质量监督抽查异议处理通知书》送达企业。</w:t>
      </w:r>
    </w:p>
    <w:p w14:paraId="63F4B587">
      <w:pPr>
        <w:snapToGrid w:val="0"/>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9.3核查不合格项目相关证据，能够以纸质记录与不合格项目相关联的其它质量数据等检验证据证明，并得到被检方认可的，作出维持原检验结论的复检结论。</w:t>
      </w:r>
    </w:p>
    <w:p w14:paraId="585991B1">
      <w:pPr>
        <w:snapToGrid w:val="0"/>
        <w:spacing w:line="560" w:lineRule="exact"/>
        <w:ind w:firstLine="560" w:firstLineChars="200"/>
        <w:rPr>
          <w:rFonts w:hint="eastAsia" w:cs="宋体" w:asciiTheme="minorEastAsia" w:hAnsiTheme="minorEastAsia"/>
          <w:sz w:val="28"/>
          <w:szCs w:val="28"/>
        </w:rPr>
      </w:pPr>
      <w:r>
        <w:rPr>
          <w:rFonts w:hint="eastAsia" w:cs="宋体" w:asciiTheme="minorEastAsia" w:hAnsiTheme="minorEastAsia"/>
          <w:sz w:val="28"/>
          <w:szCs w:val="28"/>
        </w:rPr>
        <w:t>9.4对需要复检并具备检验条件的，复检承检机构按任务下达部门要求，对留存的样品或抽取的备用样品组织复检，并出具复检报告。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二">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561651"/>
      <w:docPartObj>
        <w:docPartGallery w:val="autotext"/>
      </w:docPartObj>
    </w:sdtPr>
    <w:sdtContent>
      <w:p w14:paraId="526512DC">
        <w:pPr>
          <w:pStyle w:val="7"/>
          <w:jc w:val="right"/>
        </w:pPr>
        <w:r>
          <w:fldChar w:fldCharType="begin"/>
        </w:r>
        <w:r>
          <w:instrText xml:space="preserve">PAGE   \* MERGEFORMAT</w:instrText>
        </w:r>
        <w:r>
          <w:fldChar w:fldCharType="separate"/>
        </w:r>
        <w:r>
          <w:rPr>
            <w:lang w:val="zh-CN"/>
          </w:rPr>
          <w:t>7</w:t>
        </w:r>
        <w:r>
          <w:fldChar w:fldCharType="end"/>
        </w:r>
      </w:p>
    </w:sdtContent>
  </w:sdt>
  <w:p w14:paraId="344E1E5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CE609"/>
    <w:multiLevelType w:val="singleLevel"/>
    <w:tmpl w:val="EEFCE609"/>
    <w:lvl w:ilvl="0" w:tentative="0">
      <w:start w:val="3"/>
      <w:numFmt w:val="decimal"/>
      <w:lvlText w:val="%1."/>
      <w:lvlJc w:val="left"/>
      <w:pPr>
        <w:tabs>
          <w:tab w:val="left" w:pos="312"/>
        </w:tabs>
      </w:pPr>
    </w:lvl>
  </w:abstractNum>
  <w:abstractNum w:abstractNumId="1">
    <w:nsid w:val="2954235E"/>
    <w:multiLevelType w:val="multilevel"/>
    <w:tmpl w:val="2954235E"/>
    <w:lvl w:ilvl="0" w:tentative="0">
      <w:start w:val="3"/>
      <w:numFmt w:val="decimal"/>
      <w:pStyle w:val="22"/>
      <w:lvlText w:val="%1"/>
      <w:lvlJc w:val="left"/>
      <w:pPr>
        <w:ind w:left="432" w:hanging="432"/>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U4YzQ0MGY1ZmM4MDkwZTZhNzQzNzgwMjBkNGIifQ=="/>
  </w:docVars>
  <w:rsids>
    <w:rsidRoot w:val="0076661A"/>
    <w:rsid w:val="000841A6"/>
    <w:rsid w:val="000A6879"/>
    <w:rsid w:val="000C5133"/>
    <w:rsid w:val="000D0183"/>
    <w:rsid w:val="000D239C"/>
    <w:rsid w:val="000D5B05"/>
    <w:rsid w:val="0010204F"/>
    <w:rsid w:val="00127C83"/>
    <w:rsid w:val="001607CD"/>
    <w:rsid w:val="00190A4E"/>
    <w:rsid w:val="001A2FD2"/>
    <w:rsid w:val="001C10DF"/>
    <w:rsid w:val="00207A76"/>
    <w:rsid w:val="0022453B"/>
    <w:rsid w:val="00236599"/>
    <w:rsid w:val="00265130"/>
    <w:rsid w:val="002B39A2"/>
    <w:rsid w:val="002C686D"/>
    <w:rsid w:val="00306608"/>
    <w:rsid w:val="00341BF3"/>
    <w:rsid w:val="0034283E"/>
    <w:rsid w:val="00371DFD"/>
    <w:rsid w:val="003A311C"/>
    <w:rsid w:val="003D2721"/>
    <w:rsid w:val="003E011F"/>
    <w:rsid w:val="003F669D"/>
    <w:rsid w:val="00447132"/>
    <w:rsid w:val="00474E84"/>
    <w:rsid w:val="00474F1C"/>
    <w:rsid w:val="00494BB2"/>
    <w:rsid w:val="004C4D0F"/>
    <w:rsid w:val="004D70ED"/>
    <w:rsid w:val="0050285D"/>
    <w:rsid w:val="005236A0"/>
    <w:rsid w:val="00547B99"/>
    <w:rsid w:val="00595F6D"/>
    <w:rsid w:val="005F5492"/>
    <w:rsid w:val="00637DDA"/>
    <w:rsid w:val="006613A3"/>
    <w:rsid w:val="00667E3D"/>
    <w:rsid w:val="006B1991"/>
    <w:rsid w:val="006B51A6"/>
    <w:rsid w:val="006F4E8E"/>
    <w:rsid w:val="007107AB"/>
    <w:rsid w:val="0076661A"/>
    <w:rsid w:val="007715E5"/>
    <w:rsid w:val="00783340"/>
    <w:rsid w:val="00791AE5"/>
    <w:rsid w:val="007B4EC8"/>
    <w:rsid w:val="007C091F"/>
    <w:rsid w:val="007C402A"/>
    <w:rsid w:val="007D087D"/>
    <w:rsid w:val="007D49E7"/>
    <w:rsid w:val="007D55DF"/>
    <w:rsid w:val="007F0AC9"/>
    <w:rsid w:val="007F5A11"/>
    <w:rsid w:val="00800C9D"/>
    <w:rsid w:val="00830E1B"/>
    <w:rsid w:val="008330CF"/>
    <w:rsid w:val="00836C3F"/>
    <w:rsid w:val="008A3B1B"/>
    <w:rsid w:val="008E4238"/>
    <w:rsid w:val="00946EDB"/>
    <w:rsid w:val="00962B71"/>
    <w:rsid w:val="0097146D"/>
    <w:rsid w:val="0098007A"/>
    <w:rsid w:val="009A33E8"/>
    <w:rsid w:val="00A042E3"/>
    <w:rsid w:val="00A13F35"/>
    <w:rsid w:val="00A17EE1"/>
    <w:rsid w:val="00A50F5C"/>
    <w:rsid w:val="00A552F2"/>
    <w:rsid w:val="00AA0B20"/>
    <w:rsid w:val="00AB4D99"/>
    <w:rsid w:val="00AC7E41"/>
    <w:rsid w:val="00B55F5F"/>
    <w:rsid w:val="00BD2A68"/>
    <w:rsid w:val="00C715BF"/>
    <w:rsid w:val="00C92D0A"/>
    <w:rsid w:val="00CA237C"/>
    <w:rsid w:val="00CB1F3E"/>
    <w:rsid w:val="00CB264A"/>
    <w:rsid w:val="00CD4305"/>
    <w:rsid w:val="00CF7C42"/>
    <w:rsid w:val="00D35A99"/>
    <w:rsid w:val="00D557E7"/>
    <w:rsid w:val="00D80192"/>
    <w:rsid w:val="00DF115C"/>
    <w:rsid w:val="00DF4C1E"/>
    <w:rsid w:val="00E15F53"/>
    <w:rsid w:val="00E3082A"/>
    <w:rsid w:val="00E5283B"/>
    <w:rsid w:val="00E70E71"/>
    <w:rsid w:val="00E930E4"/>
    <w:rsid w:val="00EF3E69"/>
    <w:rsid w:val="00EF78EB"/>
    <w:rsid w:val="00F07DD6"/>
    <w:rsid w:val="00F15038"/>
    <w:rsid w:val="00F47EB2"/>
    <w:rsid w:val="00F5204D"/>
    <w:rsid w:val="00F87B2F"/>
    <w:rsid w:val="00F90DBA"/>
    <w:rsid w:val="00FA090C"/>
    <w:rsid w:val="00FA2676"/>
    <w:rsid w:val="00FB1199"/>
    <w:rsid w:val="00FD7A54"/>
    <w:rsid w:val="03B37B5D"/>
    <w:rsid w:val="15EB6EDC"/>
    <w:rsid w:val="1CA81DF1"/>
    <w:rsid w:val="1DBC0763"/>
    <w:rsid w:val="1E786A08"/>
    <w:rsid w:val="22414C51"/>
    <w:rsid w:val="243533AE"/>
    <w:rsid w:val="267A0A76"/>
    <w:rsid w:val="26EF7DFB"/>
    <w:rsid w:val="27957DFB"/>
    <w:rsid w:val="33780807"/>
    <w:rsid w:val="35AB2027"/>
    <w:rsid w:val="389C2BBD"/>
    <w:rsid w:val="3E9A115D"/>
    <w:rsid w:val="47B1010A"/>
    <w:rsid w:val="48360F8E"/>
    <w:rsid w:val="4BCC56C4"/>
    <w:rsid w:val="5A2B20C1"/>
    <w:rsid w:val="6DD4449B"/>
    <w:rsid w:val="6F296A73"/>
    <w:rsid w:val="72076174"/>
    <w:rsid w:val="7804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autoRedefine/>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napToGrid w:val="0"/>
      <w:spacing w:line="440" w:lineRule="exact"/>
      <w:ind w:firstLine="403" w:firstLineChars="192"/>
    </w:pPr>
    <w:rPr>
      <w:rFonts w:ascii="宋体" w:hAnsi="宋体"/>
      <w:szCs w:val="21"/>
    </w:rPr>
  </w:style>
  <w:style w:type="paragraph" w:styleId="5">
    <w:name w:val="Plain Text"/>
    <w:basedOn w:val="1"/>
    <w:link w:val="23"/>
    <w:autoRedefine/>
    <w:qFormat/>
    <w:uiPriority w:val="0"/>
    <w:rPr>
      <w:rFonts w:ascii="宋体" w:hAnsi="Courier New" w:eastAsia="宋体" w:cs="Times New Roman"/>
      <w:sz w:val="28"/>
      <w:szCs w:val="20"/>
    </w:rPr>
  </w:style>
  <w:style w:type="paragraph" w:styleId="6">
    <w:name w:val="Balloon Text"/>
    <w:basedOn w:val="1"/>
    <w:link w:val="16"/>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autoRedefine/>
    <w:semiHidden/>
    <w:unhideWhenUsed/>
    <w:qFormat/>
    <w:uiPriority w:val="99"/>
    <w:rPr>
      <w:color w:val="333333"/>
      <w:u w:val="none"/>
    </w:rPr>
  </w:style>
  <w:style w:type="character" w:customStyle="1" w:styleId="13">
    <w:name w:val="页眉 Char"/>
    <w:basedOn w:val="11"/>
    <w:link w:val="8"/>
    <w:autoRedefine/>
    <w:qFormat/>
    <w:uiPriority w:val="99"/>
    <w:rPr>
      <w:sz w:val="18"/>
      <w:szCs w:val="18"/>
    </w:rPr>
  </w:style>
  <w:style w:type="character" w:customStyle="1" w:styleId="14">
    <w:name w:val="页脚 Char"/>
    <w:basedOn w:val="11"/>
    <w:link w:val="7"/>
    <w:autoRedefine/>
    <w:qFormat/>
    <w:uiPriority w:val="99"/>
    <w:rPr>
      <w:sz w:val="18"/>
      <w:szCs w:val="18"/>
    </w:rPr>
  </w:style>
  <w:style w:type="character" w:customStyle="1" w:styleId="15">
    <w:name w:val="标题 2 Char"/>
    <w:basedOn w:val="11"/>
    <w:link w:val="3"/>
    <w:autoRedefine/>
    <w:qFormat/>
    <w:uiPriority w:val="9"/>
    <w:rPr>
      <w:rFonts w:ascii="宋体" w:hAnsi="宋体" w:eastAsia="宋体" w:cs="宋体"/>
      <w:kern w:val="0"/>
      <w:sz w:val="24"/>
      <w:szCs w:val="24"/>
    </w:rPr>
  </w:style>
  <w:style w:type="character" w:customStyle="1" w:styleId="16">
    <w:name w:val="批注框文本 Char"/>
    <w:basedOn w:val="11"/>
    <w:link w:val="6"/>
    <w:autoRedefine/>
    <w:semiHidden/>
    <w:qFormat/>
    <w:uiPriority w:val="99"/>
    <w:rPr>
      <w:sz w:val="18"/>
      <w:szCs w:val="18"/>
    </w:rPr>
  </w:style>
  <w:style w:type="paragraph" w:customStyle="1" w:styleId="17">
    <w:name w:val="肥料正文"/>
    <w:basedOn w:val="1"/>
    <w:autoRedefine/>
    <w:qFormat/>
    <w:uiPriority w:val="0"/>
    <w:pPr>
      <w:adjustRightInd w:val="0"/>
      <w:snapToGrid w:val="0"/>
      <w:spacing w:line="317" w:lineRule="auto"/>
      <w:ind w:firstLine="200" w:firstLineChars="200"/>
    </w:pPr>
    <w:rPr>
      <w:rFonts w:ascii="Times New Roman" w:hAnsi="Times New Roman" w:eastAsia="汉鼎简书宋二" w:cs="Times New Roman"/>
      <w:snapToGrid w:val="0"/>
      <w:spacing w:val="2"/>
      <w:kern w:val="0"/>
      <w:sz w:val="22"/>
      <w:szCs w:val="24"/>
    </w:rPr>
  </w:style>
  <w:style w:type="character" w:customStyle="1" w:styleId="18">
    <w:name w:val="正文 + (西文) Times New Roman Char"/>
    <w:basedOn w:val="11"/>
    <w:link w:val="19"/>
    <w:autoRedefine/>
    <w:qFormat/>
    <w:locked/>
    <w:uiPriority w:val="0"/>
    <w:rPr>
      <w:rFonts w:ascii="仿宋_GB2312" w:hAnsi="宋体" w:eastAsia="仿宋_GB2312"/>
      <w:color w:val="000000"/>
      <w:sz w:val="28"/>
      <w:szCs w:val="28"/>
    </w:rPr>
  </w:style>
  <w:style w:type="paragraph" w:customStyle="1" w:styleId="19">
    <w:name w:val="正文 + (西文) Times New Roman"/>
    <w:basedOn w:val="9"/>
    <w:link w:val="18"/>
    <w:autoRedefine/>
    <w:qFormat/>
    <w:uiPriority w:val="0"/>
    <w:pPr>
      <w:autoSpaceDE w:val="0"/>
      <w:autoSpaceDN w:val="0"/>
      <w:spacing w:before="0" w:beforeAutospacing="0" w:after="0" w:afterAutospacing="0" w:line="360" w:lineRule="auto"/>
      <w:ind w:firstLine="560" w:firstLineChars="200"/>
    </w:pPr>
    <w:rPr>
      <w:rFonts w:ascii="仿宋_GB2312" w:eastAsia="仿宋_GB2312" w:cstheme="minorBidi"/>
      <w:color w:val="000000"/>
      <w:kern w:val="2"/>
      <w:sz w:val="28"/>
      <w:szCs w:val="28"/>
    </w:rPr>
  </w:style>
  <w:style w:type="paragraph" w:styleId="20">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21">
    <w:name w:val="一级无"/>
    <w:basedOn w:val="1"/>
    <w:autoRedefine/>
    <w:qFormat/>
    <w:uiPriority w:val="0"/>
    <w:pPr>
      <w:widowControl/>
      <w:tabs>
        <w:tab w:val="left" w:pos="2160"/>
      </w:tabs>
      <w:ind w:left="2160" w:hanging="720"/>
      <w:jc w:val="left"/>
      <w:outlineLvl w:val="2"/>
    </w:pPr>
    <w:rPr>
      <w:rFonts w:ascii="宋体" w:hAnsi="黑体" w:eastAsia="宋体" w:cs="Times New Roman"/>
      <w:kern w:val="0"/>
      <w:szCs w:val="21"/>
    </w:rPr>
  </w:style>
  <w:style w:type="paragraph" w:customStyle="1" w:styleId="22">
    <w:name w:val="字母编号列项（一级）"/>
    <w:autoRedefine/>
    <w:qFormat/>
    <w:uiPriority w:val="0"/>
    <w:pPr>
      <w:numPr>
        <w:ilvl w:val="0"/>
        <w:numId w:val="1"/>
      </w:numPr>
      <w:tabs>
        <w:tab w:val="left" w:pos="839"/>
      </w:tabs>
      <w:jc w:val="both"/>
    </w:pPr>
    <w:rPr>
      <w:rFonts w:ascii="宋体" w:hAnsi="Times New Roman" w:eastAsia="宋体" w:cs="Times New Roman"/>
      <w:kern w:val="0"/>
      <w:sz w:val="21"/>
      <w:szCs w:val="20"/>
      <w:lang w:val="en-US" w:eastAsia="zh-CN" w:bidi="ar-SA"/>
    </w:rPr>
  </w:style>
  <w:style w:type="character" w:customStyle="1" w:styleId="23">
    <w:name w:val="纯文本 Char"/>
    <w:basedOn w:val="11"/>
    <w:link w:val="5"/>
    <w:autoRedefine/>
    <w:qFormat/>
    <w:uiPriority w:val="0"/>
    <w:rPr>
      <w:rFonts w:ascii="宋体" w:hAnsi="Courier New"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2977</Words>
  <Characters>3705</Characters>
  <Lines>25</Lines>
  <Paragraphs>7</Paragraphs>
  <TotalTime>1</TotalTime>
  <ScaleCrop>false</ScaleCrop>
  <LinksUpToDate>false</LinksUpToDate>
  <CharactersWithSpaces>3781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2020-03-18T05:48:00Z</dcterms:created>
  <dc:creator>admin</dc:creator>
  <cp:lastModifiedBy>189----7681</cp:lastModifiedBy>
  <dcterms:modified xsi:type="dcterms:W3CDTF">2025-01-23T01:26:37Z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4EA41D36C2134DFBA35BB901449D59CA_13</vt:lpwstr>
  </property>
  <property fmtid="{D5CDD505-2E9C-101B-9397-08002B2CF9AE}" pid="4" name="KSOTemplateDocerSaveRecord">
    <vt:lpwstr>eyJoZGlkIjoiOGQ2NTdkNDJhYTIzZWJiYjI4ZTA5NGRjZDczZDNiYTIiLCJ1c2VySWQiOiIxNTg0MDE2MTE3In0=</vt:lpwstr>
  </property>
</Properties>
</file>