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海州区支持智能算力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highlight w:val="none"/>
          <w:lang w:val="en-US" w:eastAsia="zh-CN"/>
        </w:rPr>
        <w:t>产业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发展的若干政策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为深入贯彻党中央、国务院关于加快发展数字经济的战略部署，全面落实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全面提升海州区数字经济发展水平的实施意见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，以算力高质量发展赋能经济高质量发展，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打造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海州区坚实的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现代化数字基座，特制定支持智能算力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发展的若干政策。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本政策适用于在海州区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注册并合法经营、依法纳税</w:t>
      </w: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、无不良信用记录的、相关数据在海州区统计、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财务管理制度和会计核算体系健全的具有独立法人资格的企业、单位</w:t>
      </w: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扶持政策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贷款贴息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对注册在海州区的企业，支持新建（含扩容升级）300P以上人工智能算力项目申报列入重点项目库，享受最长3年、年化1%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贴息补助，累计贴息金额最高不超过500万元人民币。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费用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对注册在海州区的人工智能算力项目，总投资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1亿元以上的，按照不超过上一年度实际投资额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5%予以资助，每家企业累计最高不超过1000万元。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“贷款贴息”和“建设费用补贴”两种扶持政策，各建设单位仅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可申报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享受其中一种补助。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运营支持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对注册在海州区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同时根据统一规划部署在海州区</w:t>
      </w:r>
      <w:r>
        <w:rPr>
          <w:rFonts w:hint="default" w:ascii="Times New Roman" w:hAnsi="Times New Roman" w:eastAsia="仿宋_GB2312"/>
          <w:strike/>
          <w:dstrike w:val="0"/>
          <w:color w:val="auto"/>
          <w:sz w:val="32"/>
          <w:szCs w:val="32"/>
          <w:highlight w:val="none"/>
          <w:lang w:val="en-US" w:eastAsia="zh-CN"/>
        </w:rPr>
        <w:t>指定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机房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算力服务器，按实际用电量，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按照标准电价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补贴0.15元/度电费，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每家企业每年累计最高不超过1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，补贴时间暂定2年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算力使用补贴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对注册在海州区的企业使用海州区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内算力中心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智算服务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，按实际支付人工智能算力费用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5%给予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补助，每年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不超过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200万元补贴。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智能算力生态企业补助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对于注册在海州区内，开发人工智能大模型的企业，按照项目使用算力成本的3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，给予开发单位每年最高2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万元的补助。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对半导体和集成电路、EDA、软件和细腻服务、智算服务器生产组装等算力企业按照重大项目一事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一议。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6、人才扶持政策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对企业优秀工作者、新引进人才及高管，在住房保障、租房补贴、子女入学方面，按市区相关政策加大统筹支持力度。企业全职引进的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博士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（或正高职称人才）、硕士（或副高职称人才）、本科生可享受5-20万元购房券。企业全职引进的博士研究生，可连续3年享受每月3000元生活补贴；毕业后三年内初次到我区企业工作的全日制普通高校硕士研究生、本科生，可连续3年分别享受每月500-2000元生活补贴。对于符合奖励范围和条件的企业高端人才，发放贡献奖励，每年按人才对全市贡献额度的100%进行奖励，累计最高奖励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同一主体、同一项目已获得省市相关政策扶持的，按照就高原则，不重复享受。对弄虚作假或以不正当手段骗取扶持资金的，一经查实，追回已拨付资金，依法纳入个人及企业征信系统并向社会公布，同时按有关法律和规定严肃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企业近三年内有以下行为的不享受本扶持政策：企业发生一般及以上的生产安全责任事故和火灾事故；存在“偷、逃、抗、骗”税等行为；环保方面存在严重问题；在国家企业信用信息公示系统中有其他严重失信行为的记录；列入经营异常名录且还未移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楷体_GB2312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享受本优惠政策的企业在五年内迁出我区的，已享受优惠政策的所有奖励资金应全额退还。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本政策由海州区工信局会同相关部门解释。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本政策有效期为自文件发布之日起至2026年12月31日。有效期届满或有法律政策依据变化，将根据实施情况予以评估修订。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本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政策</w:t>
      </w:r>
      <w:r>
        <w:rPr>
          <w:rFonts w:hint="default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如与国家、省、市最新法律、法规及政策不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一</w:t>
      </w:r>
      <w:r>
        <w:rPr>
          <w:rFonts w:hint="default" w:ascii="Times New Roman" w:hAnsi="Times New Roman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致时，以国家、省、市最新法律、法规及政策为准。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CE1FC"/>
    <w:multiLevelType w:val="singleLevel"/>
    <w:tmpl w:val="EF2CE1FC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FA3979FC"/>
    <w:multiLevelType w:val="singleLevel"/>
    <w:tmpl w:val="FA3979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7943D5E"/>
    <w:multiLevelType w:val="singleLevel"/>
    <w:tmpl w:val="67943D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Tc5ZmZmZDE2MTAzZjdkMjJlMTMzZGUwMDhiNzYifQ=="/>
  </w:docVars>
  <w:rsids>
    <w:rsidRoot w:val="00000000"/>
    <w:rsid w:val="00BA290E"/>
    <w:rsid w:val="016A5229"/>
    <w:rsid w:val="020B50C1"/>
    <w:rsid w:val="027125E7"/>
    <w:rsid w:val="029C5685"/>
    <w:rsid w:val="041E67D6"/>
    <w:rsid w:val="047F671B"/>
    <w:rsid w:val="052528BC"/>
    <w:rsid w:val="054B31AF"/>
    <w:rsid w:val="05E57FCD"/>
    <w:rsid w:val="0697372D"/>
    <w:rsid w:val="072308DB"/>
    <w:rsid w:val="078D3A1F"/>
    <w:rsid w:val="079E6376"/>
    <w:rsid w:val="094E71DE"/>
    <w:rsid w:val="0A060D07"/>
    <w:rsid w:val="0B467229"/>
    <w:rsid w:val="0BD65A0A"/>
    <w:rsid w:val="0C2E36E7"/>
    <w:rsid w:val="0F7554C5"/>
    <w:rsid w:val="0FAA4F28"/>
    <w:rsid w:val="10341683"/>
    <w:rsid w:val="10C5609D"/>
    <w:rsid w:val="11621E0D"/>
    <w:rsid w:val="13663179"/>
    <w:rsid w:val="13791B85"/>
    <w:rsid w:val="13897C1F"/>
    <w:rsid w:val="14D233B9"/>
    <w:rsid w:val="165E668A"/>
    <w:rsid w:val="17972974"/>
    <w:rsid w:val="17ED1616"/>
    <w:rsid w:val="189D783A"/>
    <w:rsid w:val="194B7136"/>
    <w:rsid w:val="1B7D4618"/>
    <w:rsid w:val="1C962157"/>
    <w:rsid w:val="1EBC69FC"/>
    <w:rsid w:val="1F437284"/>
    <w:rsid w:val="229E2B2D"/>
    <w:rsid w:val="254C2D14"/>
    <w:rsid w:val="25D62123"/>
    <w:rsid w:val="266D3C01"/>
    <w:rsid w:val="294C55C9"/>
    <w:rsid w:val="2964553B"/>
    <w:rsid w:val="29B13146"/>
    <w:rsid w:val="2AE01F34"/>
    <w:rsid w:val="2AE522F9"/>
    <w:rsid w:val="2E123636"/>
    <w:rsid w:val="31E63C8B"/>
    <w:rsid w:val="33C06DA7"/>
    <w:rsid w:val="346A6D13"/>
    <w:rsid w:val="35031B63"/>
    <w:rsid w:val="3755780C"/>
    <w:rsid w:val="380F35EF"/>
    <w:rsid w:val="383B2C9D"/>
    <w:rsid w:val="39003169"/>
    <w:rsid w:val="3A837E22"/>
    <w:rsid w:val="3A892F12"/>
    <w:rsid w:val="3CC316B6"/>
    <w:rsid w:val="3D4A19B3"/>
    <w:rsid w:val="3D6F71B7"/>
    <w:rsid w:val="3DFD3246"/>
    <w:rsid w:val="3E086884"/>
    <w:rsid w:val="3ED81CC2"/>
    <w:rsid w:val="3F301756"/>
    <w:rsid w:val="429D02B3"/>
    <w:rsid w:val="432E3908"/>
    <w:rsid w:val="4407668B"/>
    <w:rsid w:val="44FC7513"/>
    <w:rsid w:val="456F4189"/>
    <w:rsid w:val="46945D8C"/>
    <w:rsid w:val="469C7BE9"/>
    <w:rsid w:val="48207378"/>
    <w:rsid w:val="4A783AE0"/>
    <w:rsid w:val="4AF43F19"/>
    <w:rsid w:val="4C013661"/>
    <w:rsid w:val="4CAD72FC"/>
    <w:rsid w:val="4E4D2A0C"/>
    <w:rsid w:val="515F7A86"/>
    <w:rsid w:val="521961E1"/>
    <w:rsid w:val="52524DBD"/>
    <w:rsid w:val="52553D6A"/>
    <w:rsid w:val="53310CD0"/>
    <w:rsid w:val="537E2EA2"/>
    <w:rsid w:val="53BF5572"/>
    <w:rsid w:val="54183C3E"/>
    <w:rsid w:val="547A48F8"/>
    <w:rsid w:val="55410844"/>
    <w:rsid w:val="555425BD"/>
    <w:rsid w:val="56416C93"/>
    <w:rsid w:val="564D2897"/>
    <w:rsid w:val="57356057"/>
    <w:rsid w:val="5760069E"/>
    <w:rsid w:val="588E514D"/>
    <w:rsid w:val="59454B8F"/>
    <w:rsid w:val="598A738C"/>
    <w:rsid w:val="5C3100CA"/>
    <w:rsid w:val="5C58551F"/>
    <w:rsid w:val="5CD85DEB"/>
    <w:rsid w:val="5D985754"/>
    <w:rsid w:val="5DC0337C"/>
    <w:rsid w:val="5E40589C"/>
    <w:rsid w:val="5E7D150A"/>
    <w:rsid w:val="5E9B0164"/>
    <w:rsid w:val="5E9B238B"/>
    <w:rsid w:val="5FF4555F"/>
    <w:rsid w:val="60A536C3"/>
    <w:rsid w:val="61C161B0"/>
    <w:rsid w:val="61F44208"/>
    <w:rsid w:val="65166AAB"/>
    <w:rsid w:val="652B6C79"/>
    <w:rsid w:val="662C66AE"/>
    <w:rsid w:val="68831B76"/>
    <w:rsid w:val="69F23735"/>
    <w:rsid w:val="6A7C7C19"/>
    <w:rsid w:val="6BBA6EFF"/>
    <w:rsid w:val="6D505D9E"/>
    <w:rsid w:val="71094BE2"/>
    <w:rsid w:val="71D1732D"/>
    <w:rsid w:val="71D90A58"/>
    <w:rsid w:val="71E13C65"/>
    <w:rsid w:val="74A54C22"/>
    <w:rsid w:val="77AE0291"/>
    <w:rsid w:val="786F6691"/>
    <w:rsid w:val="788D434B"/>
    <w:rsid w:val="791C7176"/>
    <w:rsid w:val="792011C3"/>
    <w:rsid w:val="792425C0"/>
    <w:rsid w:val="7B6E2B96"/>
    <w:rsid w:val="7D0D3631"/>
    <w:rsid w:val="7DAF766D"/>
    <w:rsid w:val="7DF369FE"/>
    <w:rsid w:val="7E0C3B30"/>
    <w:rsid w:val="7EFB4C15"/>
    <w:rsid w:val="7F8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2762</Words>
  <Characters>2937</Characters>
  <Lines>0</Lines>
  <Paragraphs>0</Paragraphs>
  <TotalTime>2</TotalTime>
  <ScaleCrop>false</ScaleCrop>
  <LinksUpToDate>false</LinksUpToDate>
  <CharactersWithSpaces>2940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2024-03-11T06:52:00Z</dcterms:created>
  <dc:creator>Lenovo</dc:creator>
  <cp:lastModifiedBy>NTKO</cp:lastModifiedBy>
  <dcterms:modified xsi:type="dcterms:W3CDTF">2024-04-15T02:00:00Z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16F5622630294015A53BCE1E70D4F4CB_13</vt:lpwstr>
  </property>
</Properties>
</file>