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B120F">
      <w:pPr>
        <w:keepNext w:val="0"/>
        <w:keepLines w:val="0"/>
        <w:pageBreakBefore w:val="0"/>
        <w:widowControl w:val="0"/>
        <w:kinsoku/>
        <w:wordWrap/>
        <w:overflowPunct/>
        <w:topLinePunct w:val="0"/>
        <w:autoSpaceDE/>
        <w:autoSpaceDN/>
        <w:bidi w:val="0"/>
        <w:adjustRightInd w:val="0"/>
        <w:snapToGrid w:val="0"/>
        <w:spacing w:beforeAutospacing="0" w:line="560" w:lineRule="exact"/>
        <w:textAlignment w:val="auto"/>
        <w:rPr>
          <w:rFonts w:hint="eastAsia" w:ascii="方正小标宋_GBK" w:hAnsi="方正小标宋_GBK" w:eastAsia="方正小标宋_GBK" w:cs="方正小标宋_GBK"/>
          <w:color w:val="auto"/>
          <w:highlight w:val="none"/>
          <w:lang w:val="en-US" w:eastAsia="zh-CN"/>
        </w:rPr>
      </w:pPr>
      <w:bookmarkStart w:id="0" w:name="_GoBack"/>
      <w:bookmarkEnd w:id="0"/>
    </w:p>
    <w:p w14:paraId="0D0E684C">
      <w:pPr>
        <w:keepNext w:val="0"/>
        <w:keepLines w:val="0"/>
        <w:pageBreakBefore w:val="0"/>
        <w:widowControl w:val="0"/>
        <w:kinsoku/>
        <w:wordWrap/>
        <w:overflowPunct/>
        <w:topLinePunct w:val="0"/>
        <w:autoSpaceDE/>
        <w:autoSpaceDN/>
        <w:bidi w:val="0"/>
        <w:adjustRightInd w:val="0"/>
        <w:snapToGrid w:val="0"/>
        <w:spacing w:beforeAutospacing="0" w:line="560" w:lineRule="exact"/>
        <w:jc w:val="center"/>
        <w:textAlignment w:val="auto"/>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海州区支持智能算力产业发展</w:t>
      </w:r>
    </w:p>
    <w:p w14:paraId="73CE54D0">
      <w:pPr>
        <w:keepNext w:val="0"/>
        <w:keepLines w:val="0"/>
        <w:pageBreakBefore w:val="0"/>
        <w:widowControl w:val="0"/>
        <w:kinsoku/>
        <w:wordWrap/>
        <w:overflowPunct/>
        <w:topLinePunct w:val="0"/>
        <w:autoSpaceDE/>
        <w:autoSpaceDN/>
        <w:bidi w:val="0"/>
        <w:adjustRightInd w:val="0"/>
        <w:snapToGrid w:val="0"/>
        <w:spacing w:beforeAutospacing="0" w:line="560" w:lineRule="exact"/>
        <w:jc w:val="center"/>
        <w:textAlignment w:val="auto"/>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的若干政策</w:t>
      </w:r>
    </w:p>
    <w:p w14:paraId="02F1F8EA">
      <w:pPr>
        <w:keepNext w:val="0"/>
        <w:keepLines w:val="0"/>
        <w:pageBreakBefore w:val="0"/>
        <w:widowControl w:val="0"/>
        <w:kinsoku/>
        <w:wordWrap/>
        <w:overflowPunct/>
        <w:topLinePunct w:val="0"/>
        <w:autoSpaceDE/>
        <w:autoSpaceDN/>
        <w:bidi w:val="0"/>
        <w:adjustRightInd w:val="0"/>
        <w:snapToGrid w:val="0"/>
        <w:spacing w:beforeAutospacing="0" w:line="560" w:lineRule="exact"/>
        <w:jc w:val="center"/>
        <w:textAlignment w:val="auto"/>
        <w:rPr>
          <w:rFonts w:hint="eastAsia" w:ascii="楷体" w:hAnsi="楷体" w:eastAsia="楷体" w:cs="楷体"/>
          <w:color w:val="auto"/>
          <w:sz w:val="32"/>
          <w:szCs w:val="32"/>
          <w:highlight w:val="none"/>
          <w:lang w:val="en-US" w:eastAsia="zh-CN"/>
        </w:rPr>
      </w:pPr>
      <w:r>
        <w:rPr>
          <w:rFonts w:hint="eastAsia" w:ascii="楷体" w:hAnsi="楷体" w:eastAsia="楷体" w:cs="楷体"/>
          <w:color w:val="auto"/>
          <w:sz w:val="32"/>
          <w:szCs w:val="32"/>
          <w:highlight w:val="none"/>
          <w:lang w:val="en-US" w:eastAsia="zh-CN"/>
        </w:rPr>
        <w:t>（修订稿）</w:t>
      </w:r>
    </w:p>
    <w:p w14:paraId="3EB5BD7D">
      <w:pPr>
        <w:keepNext w:val="0"/>
        <w:keepLines w:val="0"/>
        <w:pageBreakBefore w:val="0"/>
        <w:widowControl w:val="0"/>
        <w:kinsoku/>
        <w:wordWrap/>
        <w:overflowPunct/>
        <w:topLinePunct w:val="0"/>
        <w:autoSpaceDE/>
        <w:autoSpaceDN/>
        <w:bidi w:val="0"/>
        <w:adjustRightInd w:val="0"/>
        <w:snapToGrid w:val="0"/>
        <w:spacing w:beforeAutospacing="0" w:line="560" w:lineRule="exact"/>
        <w:textAlignment w:val="auto"/>
        <w:rPr>
          <w:rFonts w:hint="default" w:ascii="Times New Roman" w:hAnsi="Times New Roman" w:eastAsia="仿宋_GB2312" w:cs="Times New Roman"/>
          <w:color w:val="auto"/>
          <w:sz w:val="32"/>
          <w:szCs w:val="32"/>
          <w:highlight w:val="none"/>
          <w:lang w:val="en-US" w:eastAsia="zh-CN"/>
        </w:rPr>
      </w:pPr>
    </w:p>
    <w:p w14:paraId="04B33ECC">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eastAsia="zh-CN"/>
        </w:rPr>
        <w:t>为深入贯彻党中央、国务院关于加快发展数字经济的战略部署，全面落实《</w:t>
      </w:r>
      <w:r>
        <w:rPr>
          <w:rFonts w:hint="default" w:ascii="Times New Roman" w:hAnsi="Times New Roman" w:eastAsia="仿宋_GB2312" w:cs="Times New Roman"/>
          <w:color w:val="auto"/>
          <w:sz w:val="32"/>
          <w:szCs w:val="32"/>
          <w:highlight w:val="none"/>
          <w:u w:val="none"/>
          <w:lang w:val="en-US" w:eastAsia="zh-CN"/>
        </w:rPr>
        <w:t>关于</w:t>
      </w:r>
      <w:r>
        <w:rPr>
          <w:rFonts w:hint="default" w:ascii="Times New Roman" w:hAnsi="Times New Roman" w:eastAsia="仿宋_GB2312" w:cs="Times New Roman"/>
          <w:color w:val="auto"/>
          <w:sz w:val="32"/>
          <w:szCs w:val="32"/>
          <w:highlight w:val="none"/>
          <w:u w:val="none"/>
        </w:rPr>
        <w:t>全面提升海州区数字经济发展水平的实施意见</w:t>
      </w:r>
      <w:r>
        <w:rPr>
          <w:rFonts w:hint="default"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，以算力高质量发展赋能经济高质量发展，</w:t>
      </w:r>
      <w:r>
        <w:rPr>
          <w:rFonts w:hint="default" w:ascii="Times New Roman" w:hAnsi="Times New Roman" w:eastAsia="仿宋_GB2312" w:cs="Times New Roman"/>
          <w:color w:val="auto"/>
          <w:sz w:val="32"/>
          <w:szCs w:val="32"/>
          <w:highlight w:val="none"/>
          <w:u w:val="none"/>
          <w:lang w:eastAsia="zh-CN"/>
        </w:rPr>
        <w:t>打造</w:t>
      </w:r>
      <w:r>
        <w:rPr>
          <w:rFonts w:hint="default" w:ascii="Times New Roman" w:hAnsi="Times New Roman" w:eastAsia="仿宋_GB2312" w:cs="Times New Roman"/>
          <w:color w:val="auto"/>
          <w:sz w:val="32"/>
          <w:szCs w:val="32"/>
          <w:highlight w:val="none"/>
          <w:u w:val="none"/>
          <w:lang w:val="en-US" w:eastAsia="zh-CN"/>
        </w:rPr>
        <w:t>海州区坚实的</w:t>
      </w:r>
      <w:r>
        <w:rPr>
          <w:rFonts w:hint="default" w:ascii="Times New Roman" w:hAnsi="Times New Roman" w:eastAsia="仿宋_GB2312" w:cs="Times New Roman"/>
          <w:color w:val="auto"/>
          <w:sz w:val="32"/>
          <w:szCs w:val="32"/>
          <w:highlight w:val="none"/>
          <w:u w:val="none"/>
          <w:lang w:eastAsia="zh-CN"/>
        </w:rPr>
        <w:t>现代化数字基座，特制定支持智能算力</w:t>
      </w:r>
      <w:r>
        <w:rPr>
          <w:rFonts w:hint="default" w:ascii="Times New Roman" w:hAnsi="Times New Roman" w:eastAsia="仿宋_GB2312" w:cs="Times New Roman"/>
          <w:color w:val="auto"/>
          <w:sz w:val="32"/>
          <w:szCs w:val="32"/>
          <w:highlight w:val="none"/>
          <w:u w:val="none"/>
          <w:lang w:val="en-US" w:eastAsia="zh-CN"/>
        </w:rPr>
        <w:t>产业</w:t>
      </w:r>
      <w:r>
        <w:rPr>
          <w:rFonts w:hint="default" w:ascii="Times New Roman" w:hAnsi="Times New Roman" w:eastAsia="仿宋_GB2312" w:cs="Times New Roman"/>
          <w:color w:val="auto"/>
          <w:sz w:val="32"/>
          <w:szCs w:val="32"/>
          <w:highlight w:val="none"/>
          <w:u w:val="none"/>
          <w:lang w:eastAsia="zh-CN"/>
        </w:rPr>
        <w:t>发展的若干政策。</w:t>
      </w:r>
    </w:p>
    <w:p w14:paraId="0AF60C97">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kern w:val="2"/>
          <w:sz w:val="32"/>
          <w:szCs w:val="32"/>
          <w:highlight w:val="none"/>
          <w:lang w:val="en-US" w:eastAsia="zh-CN" w:bidi="ar-SA"/>
        </w:rPr>
        <w:t>一、</w:t>
      </w:r>
      <w:r>
        <w:rPr>
          <w:rFonts w:hint="default" w:ascii="Times New Roman" w:hAnsi="Times New Roman" w:eastAsia="黑体" w:cs="Times New Roman"/>
          <w:color w:val="auto"/>
          <w:sz w:val="32"/>
          <w:szCs w:val="32"/>
          <w:highlight w:val="none"/>
          <w:lang w:val="en-US" w:eastAsia="zh-CN"/>
        </w:rPr>
        <w:t>支持对象</w:t>
      </w:r>
    </w:p>
    <w:p w14:paraId="4ECF15E3">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本政策适用于在中国境内</w:t>
      </w:r>
      <w:r>
        <w:rPr>
          <w:rFonts w:hint="default" w:ascii="Times New Roman" w:hAnsi="Times New Roman" w:eastAsia="仿宋_GB2312" w:cs="Times New Roman"/>
          <w:color w:val="auto"/>
          <w:sz w:val="32"/>
          <w:szCs w:val="32"/>
          <w:highlight w:val="none"/>
        </w:rPr>
        <w:t>注册并合法经营、依法纳税</w:t>
      </w:r>
      <w:r>
        <w:rPr>
          <w:rFonts w:hint="default" w:ascii="Times New Roman" w:hAnsi="Times New Roman" w:eastAsia="仿宋_GB2312" w:cs="Times New Roman"/>
          <w:color w:val="auto"/>
          <w:sz w:val="32"/>
          <w:szCs w:val="32"/>
          <w:highlight w:val="none"/>
          <w:u w:val="none"/>
          <w:lang w:val="en-US" w:eastAsia="zh-CN"/>
        </w:rPr>
        <w:t>、无不良信用记录的、相关数据能被海州区统计的、</w:t>
      </w:r>
      <w:r>
        <w:rPr>
          <w:rFonts w:hint="default" w:ascii="Times New Roman" w:hAnsi="Times New Roman" w:eastAsia="仿宋_GB2312" w:cs="Times New Roman"/>
          <w:color w:val="auto"/>
          <w:sz w:val="32"/>
          <w:szCs w:val="32"/>
          <w:highlight w:val="none"/>
        </w:rPr>
        <w:t>财务管理制度和会计核算体系健全的具有独立法人资格的企业、单位</w:t>
      </w:r>
      <w:r>
        <w:rPr>
          <w:rFonts w:hint="default" w:ascii="Times New Roman" w:hAnsi="Times New Roman" w:eastAsia="仿宋_GB2312" w:cs="Times New Roman"/>
          <w:color w:val="auto"/>
          <w:sz w:val="32"/>
          <w:szCs w:val="32"/>
          <w:highlight w:val="none"/>
          <w:u w:val="none"/>
          <w:lang w:val="en-US" w:eastAsia="zh-CN"/>
        </w:rPr>
        <w:t>。</w:t>
      </w:r>
    </w:p>
    <w:p w14:paraId="4CEF91BF">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kern w:val="2"/>
          <w:sz w:val="32"/>
          <w:szCs w:val="32"/>
          <w:highlight w:val="none"/>
          <w:lang w:val="en-US" w:eastAsia="zh-CN" w:bidi="ar-SA"/>
        </w:rPr>
        <w:t>二、</w:t>
      </w:r>
      <w:r>
        <w:rPr>
          <w:rFonts w:hint="default" w:ascii="Times New Roman" w:hAnsi="Times New Roman" w:eastAsia="黑体" w:cs="Times New Roman"/>
          <w:color w:val="auto"/>
          <w:sz w:val="32"/>
          <w:szCs w:val="32"/>
          <w:highlight w:val="none"/>
          <w:lang w:val="en-US" w:eastAsia="zh-CN"/>
        </w:rPr>
        <w:t>扶持政策</w:t>
      </w:r>
    </w:p>
    <w:p w14:paraId="5FE1C3B1">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left="0" w:leftChars="0" w:firstLine="640" w:firstLineChars="200"/>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kern w:val="2"/>
          <w:sz w:val="32"/>
          <w:szCs w:val="32"/>
          <w:highlight w:val="none"/>
          <w:lang w:val="en-US" w:eastAsia="zh-CN" w:bidi="ar-SA"/>
        </w:rPr>
        <w:t>（一）</w:t>
      </w:r>
      <w:r>
        <w:rPr>
          <w:rFonts w:hint="default" w:ascii="Times New Roman" w:hAnsi="Times New Roman" w:eastAsia="楷体_GB2312" w:cs="Times New Roman"/>
          <w:color w:val="auto"/>
          <w:sz w:val="32"/>
          <w:szCs w:val="32"/>
          <w:highlight w:val="none"/>
          <w:lang w:val="en-US" w:eastAsia="zh-CN"/>
        </w:rPr>
        <w:t>建设费用补助</w:t>
      </w:r>
    </w:p>
    <w:p w14:paraId="3DE7E731">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对投入建设算力基础设施项目的，算力规模不低于300P，总投资在1亿元以上的，按照不超过上一年度实际投资额的5%予以补助，每家企业累计补助不超过800万元。</w:t>
      </w:r>
    </w:p>
    <w:p w14:paraId="4E55BC18">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left="0" w:leftChars="0" w:firstLine="640" w:firstLineChars="200"/>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kern w:val="2"/>
          <w:sz w:val="32"/>
          <w:szCs w:val="32"/>
          <w:highlight w:val="none"/>
          <w:lang w:val="en-US" w:eastAsia="zh-CN" w:bidi="ar-SA"/>
        </w:rPr>
        <w:t>（二）</w:t>
      </w:r>
      <w:r>
        <w:rPr>
          <w:rFonts w:hint="default" w:ascii="Times New Roman" w:hAnsi="Times New Roman" w:eastAsia="楷体_GB2312" w:cs="Times New Roman"/>
          <w:color w:val="auto"/>
          <w:sz w:val="32"/>
          <w:szCs w:val="32"/>
          <w:highlight w:val="none"/>
          <w:lang w:val="en-US" w:eastAsia="zh-CN"/>
        </w:rPr>
        <w:t>运营补助</w:t>
      </w:r>
    </w:p>
    <w:p w14:paraId="4F71E945">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根据统一规划部署的算力服务器</w:t>
      </w:r>
      <w:r>
        <w:rPr>
          <w:rFonts w:hint="default" w:ascii="Times New Roman" w:hAnsi="Times New Roman" w:eastAsia="仿宋_GB2312" w:cs="Times New Roman"/>
          <w:color w:val="auto"/>
          <w:sz w:val="32"/>
          <w:szCs w:val="32"/>
          <w:highlight w:val="none"/>
          <w:lang w:val="en-US" w:eastAsia="zh-CN"/>
        </w:rPr>
        <w:t>，按实际年机房运营成本给予20%补助，每家企业每年补助最高不超过500万元，补助时间暂定2年。</w:t>
      </w:r>
    </w:p>
    <w:p w14:paraId="6AA261B2">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line="560" w:lineRule="exact"/>
        <w:ind w:left="0" w:leftChars="0" w:firstLine="640" w:firstLineChars="200"/>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kern w:val="2"/>
          <w:sz w:val="32"/>
          <w:szCs w:val="32"/>
          <w:highlight w:val="none"/>
          <w:lang w:val="en-US" w:eastAsia="zh-CN" w:bidi="ar-SA"/>
        </w:rPr>
        <w:t>（三）</w:t>
      </w:r>
      <w:r>
        <w:rPr>
          <w:rFonts w:hint="default" w:ascii="Times New Roman" w:hAnsi="Times New Roman" w:eastAsia="楷体_GB2312" w:cs="Times New Roman"/>
          <w:color w:val="auto"/>
          <w:sz w:val="32"/>
          <w:szCs w:val="32"/>
          <w:highlight w:val="none"/>
          <w:lang w:val="en-US" w:eastAsia="zh-CN"/>
        </w:rPr>
        <w:t>购买算力补助（算力券补助）</w:t>
      </w:r>
    </w:p>
    <w:p w14:paraId="104EE60E">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sz w:val="32"/>
          <w:highlight w:val="none"/>
          <w:shd w:val="clear" w:color="auto" w:fill="auto"/>
        </w:rPr>
        <w:t>购买算力中心智算服务的，按实际支付人工智能算力费用的5%给予补助</w:t>
      </w:r>
      <w:r>
        <w:rPr>
          <w:rFonts w:hint="default" w:ascii="Times New Roman" w:hAnsi="Times New Roman" w:eastAsia="仿宋_GB2312" w:cs="Times New Roman"/>
          <w:color w:val="auto"/>
          <w:sz w:val="32"/>
          <w:szCs w:val="32"/>
          <w:highlight w:val="none"/>
          <w:shd w:val="clear" w:color="auto" w:fill="auto"/>
          <w:lang w:val="en-US" w:eastAsia="zh-CN"/>
        </w:rPr>
        <w:t>，每家企业每年补助最高不超过200万元。</w:t>
      </w:r>
    </w:p>
    <w:p w14:paraId="7A8BA2F3">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rPr>
        <w:t>区财政每年安排专项奖励资金</w:t>
      </w:r>
      <w:r>
        <w:rPr>
          <w:rFonts w:hint="default" w:ascii="Times New Roman" w:hAnsi="Times New Roman" w:eastAsia="仿宋_GB2312" w:cs="Times New Roman"/>
          <w:color w:val="auto"/>
          <w:sz w:val="32"/>
          <w:szCs w:val="32"/>
          <w:highlight w:val="none"/>
        </w:rPr>
        <w:t>2000万元，按照申请补助资金额度按比例进行分配。</w:t>
      </w:r>
    </w:p>
    <w:p w14:paraId="0D5098F7">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kern w:val="2"/>
          <w:sz w:val="32"/>
          <w:szCs w:val="32"/>
          <w:highlight w:val="none"/>
          <w:lang w:val="en-US" w:eastAsia="zh-CN" w:bidi="ar-SA"/>
        </w:rPr>
        <w:t>三、</w:t>
      </w:r>
      <w:r>
        <w:rPr>
          <w:rFonts w:hint="default" w:ascii="Times New Roman" w:hAnsi="Times New Roman" w:eastAsia="黑体" w:cs="Times New Roman"/>
          <w:i w:val="0"/>
          <w:iCs w:val="0"/>
          <w:caps w:val="0"/>
          <w:color w:val="auto"/>
          <w:spacing w:val="0"/>
          <w:sz w:val="32"/>
          <w:szCs w:val="32"/>
          <w:highlight w:val="none"/>
          <w:u w:val="none"/>
          <w:shd w:val="clear" w:color="auto" w:fill="FFFFFF"/>
          <w:lang w:val="en-US" w:eastAsia="zh-CN"/>
        </w:rPr>
        <w:t>申报资料及程序</w:t>
      </w:r>
    </w:p>
    <w:p w14:paraId="2FFFAEA9">
      <w:pPr>
        <w:pStyle w:val="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i w:val="0"/>
          <w:iCs w:val="0"/>
          <w:caps w:val="0"/>
          <w:color w:val="auto"/>
          <w:spacing w:val="0"/>
          <w:sz w:val="32"/>
          <w:szCs w:val="32"/>
          <w:highlight w:val="none"/>
          <w:u w:val="none"/>
          <w:shd w:val="clear" w:color="auto" w:fill="FFFFFF"/>
          <w:lang w:val="en-US" w:eastAsia="zh-CN"/>
        </w:rPr>
      </w:pPr>
      <w:r>
        <w:rPr>
          <w:rFonts w:hint="default" w:ascii="Times New Roman" w:hAnsi="Times New Roman" w:eastAsia="楷体_GB2312" w:cs="Times New Roman"/>
          <w:i w:val="0"/>
          <w:iCs w:val="0"/>
          <w:caps w:val="0"/>
          <w:color w:val="auto"/>
          <w:spacing w:val="0"/>
          <w:kern w:val="0"/>
          <w:sz w:val="32"/>
          <w:szCs w:val="32"/>
          <w:highlight w:val="none"/>
          <w:shd w:val="clear" w:fill="FFFFFF"/>
          <w:lang w:val="en-US" w:eastAsia="zh-CN" w:bidi="ar-SA"/>
        </w:rPr>
        <w:t>（一）</w:t>
      </w:r>
      <w:r>
        <w:rPr>
          <w:rFonts w:hint="default" w:ascii="Times New Roman" w:hAnsi="Times New Roman" w:eastAsia="楷体_GB2312" w:cs="Times New Roman"/>
          <w:i w:val="0"/>
          <w:iCs w:val="0"/>
          <w:caps w:val="0"/>
          <w:color w:val="auto"/>
          <w:spacing w:val="0"/>
          <w:sz w:val="32"/>
          <w:szCs w:val="32"/>
          <w:highlight w:val="none"/>
          <w:u w:val="none"/>
          <w:shd w:val="clear" w:color="auto" w:fill="FFFFFF"/>
          <w:lang w:val="en-US" w:eastAsia="zh-CN"/>
        </w:rPr>
        <w:t>申报资料</w:t>
      </w:r>
    </w:p>
    <w:p w14:paraId="649C231A">
      <w:pPr>
        <w:pStyle w:val="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企业提供申报条款对应的证明材料。</w:t>
      </w:r>
    </w:p>
    <w:p w14:paraId="5E99C776">
      <w:pPr>
        <w:pStyle w:val="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i w:val="0"/>
          <w:iCs w:val="0"/>
          <w:caps w:val="0"/>
          <w:color w:val="auto"/>
          <w:spacing w:val="0"/>
          <w:sz w:val="32"/>
          <w:szCs w:val="32"/>
          <w:highlight w:val="none"/>
          <w:u w:val="none"/>
          <w:shd w:val="clear" w:color="auto" w:fill="FFFFFF"/>
          <w:lang w:val="en-US" w:eastAsia="zh-CN"/>
        </w:rPr>
      </w:pPr>
      <w:r>
        <w:rPr>
          <w:rFonts w:hint="default" w:ascii="Times New Roman" w:hAnsi="Times New Roman" w:eastAsia="楷体_GB2312" w:cs="Times New Roman"/>
          <w:i w:val="0"/>
          <w:iCs w:val="0"/>
          <w:caps w:val="0"/>
          <w:color w:val="auto"/>
          <w:spacing w:val="0"/>
          <w:kern w:val="0"/>
          <w:sz w:val="32"/>
          <w:szCs w:val="32"/>
          <w:highlight w:val="none"/>
          <w:shd w:val="clear" w:fill="FFFFFF"/>
          <w:lang w:val="en-US" w:eastAsia="zh-CN" w:bidi="ar-SA"/>
        </w:rPr>
        <w:t>（二）</w:t>
      </w:r>
      <w:r>
        <w:rPr>
          <w:rFonts w:hint="default" w:ascii="Times New Roman" w:hAnsi="Times New Roman" w:eastAsia="楷体_GB2312" w:cs="Times New Roman"/>
          <w:i w:val="0"/>
          <w:iCs w:val="0"/>
          <w:caps w:val="0"/>
          <w:color w:val="auto"/>
          <w:spacing w:val="0"/>
          <w:sz w:val="32"/>
          <w:szCs w:val="32"/>
          <w:highlight w:val="none"/>
          <w:u w:val="none"/>
          <w:shd w:val="clear" w:color="auto" w:fill="FFFFFF"/>
          <w:lang w:val="en-US" w:eastAsia="zh-CN"/>
        </w:rPr>
        <w:t>申报程序</w:t>
      </w:r>
    </w:p>
    <w:p w14:paraId="5ECE829F">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u w:val="none"/>
          <w:lang w:val="en-US" w:eastAsia="zh-CN" w:bidi="ar-SA"/>
        </w:rPr>
        <w:t>企业于每年12月31日前按照上述要求提供资料加盖单位公章，向区发改局提出申请并递交材料，由区发改局牵头，会同区财政局、区工信局、区商务局、区数据局等相关单位对其进行审核，</w:t>
      </w:r>
      <w:r>
        <w:rPr>
          <w:rFonts w:hint="default" w:ascii="Times New Roman" w:hAnsi="Times New Roman" w:eastAsia="仿宋_GB2312" w:cs="Times New Roman"/>
          <w:color w:val="auto"/>
          <w:sz w:val="32"/>
          <w:szCs w:val="32"/>
          <w:highlight w:val="none"/>
          <w:lang w:val="en-US" w:eastAsia="zh-CN"/>
        </w:rPr>
        <w:t>报区政府申请奖励资金，经</w:t>
      </w:r>
      <w:r>
        <w:rPr>
          <w:rFonts w:hint="default" w:ascii="Times New Roman" w:hAnsi="Times New Roman" w:eastAsia="仿宋_GB2312" w:cs="Times New Roman"/>
          <w:color w:val="auto"/>
          <w:kern w:val="2"/>
          <w:sz w:val="32"/>
          <w:szCs w:val="32"/>
          <w:highlight w:val="none"/>
          <w:u w:val="none"/>
          <w:lang w:val="en-US" w:eastAsia="zh-CN" w:bidi="ar-SA"/>
        </w:rPr>
        <w:t>区政府同意后，</w:t>
      </w:r>
      <w:r>
        <w:rPr>
          <w:rFonts w:hint="default" w:ascii="Times New Roman" w:hAnsi="Times New Roman" w:eastAsia="仿宋_GB2312" w:cs="Times New Roman"/>
          <w:color w:val="auto"/>
          <w:sz w:val="32"/>
          <w:szCs w:val="32"/>
          <w:highlight w:val="none"/>
          <w:lang w:val="en-US" w:eastAsia="zh-CN"/>
        </w:rPr>
        <w:t>区发改局会同区财政局按财政资金规定程序及时将奖励资金拨付企业。</w:t>
      </w:r>
    </w:p>
    <w:p w14:paraId="57122D4B">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kern w:val="2"/>
          <w:sz w:val="32"/>
          <w:szCs w:val="32"/>
          <w:highlight w:val="none"/>
          <w:lang w:val="en-US" w:eastAsia="zh-CN" w:bidi="ar-SA"/>
        </w:rPr>
        <w:t>四、</w:t>
      </w:r>
      <w:r>
        <w:rPr>
          <w:rFonts w:hint="default" w:ascii="Times New Roman" w:hAnsi="Times New Roman" w:eastAsia="黑体" w:cs="Times New Roman"/>
          <w:color w:val="auto"/>
          <w:sz w:val="32"/>
          <w:szCs w:val="32"/>
          <w:highlight w:val="none"/>
          <w:lang w:val="en-US" w:eastAsia="zh-CN"/>
        </w:rPr>
        <w:t>附则</w:t>
      </w:r>
    </w:p>
    <w:p w14:paraId="3ABEA2CE">
      <w:pPr>
        <w:pStyle w:val="6"/>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同一主体、同一项目已获得省相关政策扶持的，不再享受区级补助。对弄虚作假或以不正当手段骗取扶持资金的，一经查实，追回已拨付资金，依法纳入个人及企业征信系统并向社会公布，同时按有关法律和规定严肃处理。</w:t>
      </w:r>
    </w:p>
    <w:p w14:paraId="5A86515A">
      <w:pPr>
        <w:pStyle w:val="6"/>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u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企业近三年内有以下行为的不享受本扶持政策：企业发生一般及以上的生产安全责任事故和火灾事故；存在</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kern w:val="2"/>
          <w:sz w:val="32"/>
          <w:szCs w:val="32"/>
          <w:highlight w:val="none"/>
          <w:u w:val="none"/>
          <w:lang w:val="en-US" w:eastAsia="zh-CN" w:bidi="ar-SA"/>
        </w:rPr>
        <w:t>偷、逃、抗、骗</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kern w:val="2"/>
          <w:sz w:val="32"/>
          <w:szCs w:val="32"/>
          <w:highlight w:val="none"/>
          <w:u w:val="none"/>
          <w:lang w:val="en-US" w:eastAsia="zh-CN" w:bidi="ar-SA"/>
        </w:rPr>
        <w:t>税等行为；环保方面存在严重问题；在国家企业信用信息公示系统中有其他严重失信行为的记录；列入经营异常名录且还未移出。</w:t>
      </w:r>
    </w:p>
    <w:p w14:paraId="08F2DD6D">
      <w:pPr>
        <w:pStyle w:val="6"/>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u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本政策按照区财政分成机制承担奖励资金。</w:t>
      </w:r>
    </w:p>
    <w:p w14:paraId="0D31F377">
      <w:pPr>
        <w:pStyle w:val="6"/>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u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本政策自2024年</w:t>
      </w:r>
      <w:r>
        <w:rPr>
          <w:rFonts w:hint="eastAsia" w:ascii="Times New Roman" w:hAnsi="Times New Roman" w:eastAsia="仿宋_GB2312" w:cs="Times New Roman"/>
          <w:color w:val="auto"/>
          <w:kern w:val="2"/>
          <w:sz w:val="32"/>
          <w:szCs w:val="32"/>
          <w:highlight w:val="none"/>
          <w:u w:val="none"/>
          <w:lang w:val="en-US" w:eastAsia="zh-CN" w:bidi="ar-SA"/>
        </w:rPr>
        <w:t>6</w:t>
      </w:r>
      <w:r>
        <w:rPr>
          <w:rFonts w:hint="default" w:ascii="Times New Roman" w:hAnsi="Times New Roman" w:eastAsia="仿宋_GB2312" w:cs="Times New Roman"/>
          <w:color w:val="auto"/>
          <w:kern w:val="2"/>
          <w:sz w:val="32"/>
          <w:szCs w:val="32"/>
          <w:highlight w:val="none"/>
          <w:u w:val="none"/>
          <w:lang w:val="en-US" w:eastAsia="zh-CN" w:bidi="ar-SA"/>
        </w:rPr>
        <w:t>月</w:t>
      </w:r>
      <w:r>
        <w:rPr>
          <w:rFonts w:hint="eastAsia" w:ascii="Times New Roman" w:hAnsi="Times New Roman" w:eastAsia="仿宋_GB2312" w:cs="Times New Roman"/>
          <w:color w:val="auto"/>
          <w:kern w:val="2"/>
          <w:sz w:val="32"/>
          <w:szCs w:val="32"/>
          <w:highlight w:val="none"/>
          <w:u w:val="none"/>
          <w:lang w:val="en-US" w:eastAsia="zh-CN" w:bidi="ar-SA"/>
        </w:rPr>
        <w:t>10</w:t>
      </w:r>
      <w:r>
        <w:rPr>
          <w:rFonts w:hint="default" w:ascii="Times New Roman" w:hAnsi="Times New Roman" w:eastAsia="仿宋_GB2312" w:cs="Times New Roman"/>
          <w:color w:val="auto"/>
          <w:kern w:val="2"/>
          <w:sz w:val="32"/>
          <w:szCs w:val="32"/>
          <w:highlight w:val="none"/>
          <w:u w:val="none"/>
          <w:lang w:val="en-US" w:eastAsia="zh-CN" w:bidi="ar-SA"/>
        </w:rPr>
        <w:t>日起实施，有效期至2026年12月31日。有效期届满或有法律政策依据变化，将根据实施情况予以评估修订。</w:t>
      </w:r>
    </w:p>
    <w:p w14:paraId="73342CB5">
      <w:pPr>
        <w:pStyle w:val="6"/>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val="0"/>
        <w:snapToGrid w:val="0"/>
        <w:spacing w:beforeAutospacing="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u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本政策如与国家、省、市最新法律、法规及政策不一致时，以国家、省、市最新法律、法规及政策为准。</w:t>
      </w:r>
    </w:p>
    <w:sectPr>
      <w:footerReference r:id="rId3" w:type="default"/>
      <w:footerReference r:id="rId4" w:type="even"/>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2DEEB0-B5EF-47E9-AFEC-99FA47328FCD}"/>
  </w:font>
  <w:font w:name="Arial">
    <w:panose1 w:val="020B0604020202020204"/>
    <w:charset w:val="01"/>
    <w:family w:val="swiss"/>
    <w:pitch w:val="default"/>
    <w:sig w:usb0="E0002EFF" w:usb1="C000785B" w:usb2="00000009" w:usb3="00000000" w:csb0="400001FF" w:csb1="FFFF0000"/>
    <w:embedRegular r:id="rId2" w:fontKey="{11274B85-5431-470A-9328-68E083777B74}"/>
  </w:font>
  <w:font w:name="黑体">
    <w:panose1 w:val="02010609060101010101"/>
    <w:charset w:val="86"/>
    <w:family w:val="auto"/>
    <w:pitch w:val="default"/>
    <w:sig w:usb0="800002BF" w:usb1="38CF7CFA" w:usb2="00000016" w:usb3="00000000" w:csb0="00040001" w:csb1="00000000"/>
    <w:embedRegular r:id="rId3" w:fontKey="{B0054231-6160-4637-BCDC-12A5A0F12748}"/>
  </w:font>
  <w:font w:name="Courier New">
    <w:panose1 w:val="02070309020205020404"/>
    <w:charset w:val="01"/>
    <w:family w:val="modern"/>
    <w:pitch w:val="default"/>
    <w:sig w:usb0="E0002EFF" w:usb1="C0007843" w:usb2="00000009" w:usb3="00000000" w:csb0="400001FF" w:csb1="FFFF0000"/>
    <w:embedRegular r:id="rId4" w:fontKey="{59C419A0-77B0-429F-BB14-DF63461E8640}"/>
  </w:font>
  <w:font w:name="Symbol">
    <w:panose1 w:val="05050102010706020507"/>
    <w:charset w:val="02"/>
    <w:family w:val="roman"/>
    <w:pitch w:val="default"/>
    <w:sig w:usb0="00000000" w:usb1="00000000" w:usb2="00000000" w:usb3="00000000" w:csb0="80000000" w:csb1="00000000"/>
    <w:embedRegular r:id="rId5" w:fontKey="{ABCE8E08-2098-4CD0-B89B-AE5029A85C33}"/>
  </w:font>
  <w:font w:name="Calibri">
    <w:panose1 w:val="020F0502020204030204"/>
    <w:charset w:val="00"/>
    <w:family w:val="swiss"/>
    <w:pitch w:val="default"/>
    <w:sig w:usb0="E4002EFF" w:usb1="C000247B" w:usb2="00000009" w:usb3="00000000" w:csb0="200001FF" w:csb1="00000000"/>
    <w:embedRegular r:id="rId6" w:fontKey="{5F8BE7AC-E85D-4441-83B4-FD105DC25298}"/>
  </w:font>
  <w:font w:name="Adobe ｷﾂﾋﾎ Std R">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方正小标宋_GBK">
    <w:panose1 w:val="03000509000000000000"/>
    <w:charset w:val="86"/>
    <w:family w:val="auto"/>
    <w:pitch w:val="default"/>
    <w:sig w:usb0="00000001" w:usb1="080E0000" w:usb2="00000000" w:usb3="00000000" w:csb0="00040000" w:csb1="00000000"/>
    <w:embedRegular r:id="rId7" w:fontKey="{C5589BD7-F465-451C-87BA-7D8CE50BA19B}"/>
  </w:font>
  <w:font w:name="楷体">
    <w:panose1 w:val="02010609060101010101"/>
    <w:charset w:val="86"/>
    <w:family w:val="auto"/>
    <w:pitch w:val="default"/>
    <w:sig w:usb0="800002BF" w:usb1="38CF7CFA" w:usb2="00000016" w:usb3="00000000" w:csb0="00040001" w:csb1="00000000"/>
    <w:embedRegular r:id="rId8" w:fontKey="{FCC6EA0E-81C2-4EFE-987B-89C1FC06F2A1}"/>
  </w:font>
  <w:font w:name="仿宋_GB2312">
    <w:panose1 w:val="02010609030101010101"/>
    <w:charset w:val="86"/>
    <w:family w:val="modern"/>
    <w:pitch w:val="default"/>
    <w:sig w:usb0="00000001" w:usb1="080E0000" w:usb2="00000000" w:usb3="00000000" w:csb0="00040000" w:csb1="00000000"/>
    <w:embedRegular r:id="rId9" w:fontKey="{D4FB8275-1999-4B94-98B6-7521FBD4089C}"/>
  </w:font>
  <w:font w:name="楷体_GB2312">
    <w:panose1 w:val="02010609030101010101"/>
    <w:charset w:val="86"/>
    <w:family w:val="auto"/>
    <w:pitch w:val="default"/>
    <w:sig w:usb0="00000001" w:usb1="080E0000" w:usb2="00000000" w:usb3="00000000" w:csb0="00040000" w:csb1="00000000"/>
    <w:embedRegular r:id="rId10" w:fontKey="{685B5F3F-4BD7-4A21-AE3F-ECE4A73BC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254D8">
    <w:pPr>
      <w:pStyle w:val="4"/>
      <w:ind w:right="180"/>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364C6">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D364C6">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60A05AE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41DD1">
    <w:pPr>
      <w:pStyle w:val="4"/>
      <w:ind w:firstLine="280" w:firstLineChars="100"/>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60959">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w:t>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4660959">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w:t>
                    </w:r>
                    <w:r>
                      <w:rPr>
                        <w:rFonts w:hint="eastAsia" w:ascii="宋体" w:hAnsi="宋体" w:eastAsia="宋体" w:cs="宋体"/>
                        <w:sz w:val="28"/>
                        <w:szCs w:val="28"/>
                      </w:rPr>
                      <w:t>—</w:t>
                    </w:r>
                  </w:p>
                </w:txbxContent>
              </v:textbox>
            </v:shape>
          </w:pict>
        </mc:Fallback>
      </mc:AlternateContent>
    </w:r>
  </w:p>
  <w:p w14:paraId="5712BDA4">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singleLevel"/>
    <w:tmpl w:val="00000004"/>
    <w:lvl w:ilvl="0" w:tentative="0">
      <w:start w:val="1"/>
      <w:numFmt w:val="decimal"/>
      <w:suff w:val="space"/>
      <w:lvlText w:val="%1."/>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isplayBackgroundShape w:val="1"/>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5YWJlYTA0ZDU4Nzk0YjM1ZGE3M2JjZTFjZTg2NzEifQ=="/>
  </w:docVars>
  <w:rsids>
    <w:rsidRoot w:val="0090255F"/>
    <w:rsid w:val="00020330"/>
    <w:rsid w:val="00455787"/>
    <w:rsid w:val="006772FE"/>
    <w:rsid w:val="0090255F"/>
    <w:rsid w:val="009A7A77"/>
    <w:rsid w:val="00A15AAE"/>
    <w:rsid w:val="00B3126E"/>
    <w:rsid w:val="00BF2603"/>
    <w:rsid w:val="00E24CD5"/>
    <w:rsid w:val="00FB1526"/>
    <w:rsid w:val="02CF4ED6"/>
    <w:rsid w:val="02D84414"/>
    <w:rsid w:val="034443F1"/>
    <w:rsid w:val="03D90DD9"/>
    <w:rsid w:val="03E868D9"/>
    <w:rsid w:val="040C0819"/>
    <w:rsid w:val="0DF06AB6"/>
    <w:rsid w:val="110B4F62"/>
    <w:rsid w:val="11485EF7"/>
    <w:rsid w:val="13FF2685"/>
    <w:rsid w:val="18830008"/>
    <w:rsid w:val="19EB378D"/>
    <w:rsid w:val="1A245DA6"/>
    <w:rsid w:val="1A6A6362"/>
    <w:rsid w:val="1B474C41"/>
    <w:rsid w:val="1C24274C"/>
    <w:rsid w:val="1DCB52CE"/>
    <w:rsid w:val="1F6B6447"/>
    <w:rsid w:val="1FAA6EBF"/>
    <w:rsid w:val="2105010D"/>
    <w:rsid w:val="241068D7"/>
    <w:rsid w:val="25CA257A"/>
    <w:rsid w:val="26E01BE0"/>
    <w:rsid w:val="27516FE0"/>
    <w:rsid w:val="27885B00"/>
    <w:rsid w:val="281C077C"/>
    <w:rsid w:val="289A3981"/>
    <w:rsid w:val="2C7068FB"/>
    <w:rsid w:val="2C812082"/>
    <w:rsid w:val="2E43384C"/>
    <w:rsid w:val="2FDA5C90"/>
    <w:rsid w:val="31563AB1"/>
    <w:rsid w:val="3221313A"/>
    <w:rsid w:val="32FD3DC7"/>
    <w:rsid w:val="33DB65EF"/>
    <w:rsid w:val="34224041"/>
    <w:rsid w:val="34DD141C"/>
    <w:rsid w:val="369A2575"/>
    <w:rsid w:val="38B60E23"/>
    <w:rsid w:val="395F671A"/>
    <w:rsid w:val="3C153965"/>
    <w:rsid w:val="3D7E460E"/>
    <w:rsid w:val="3D817A56"/>
    <w:rsid w:val="3E1D1774"/>
    <w:rsid w:val="3E9B4AFA"/>
    <w:rsid w:val="40E9171D"/>
    <w:rsid w:val="42181B5C"/>
    <w:rsid w:val="42A46C71"/>
    <w:rsid w:val="42EB7174"/>
    <w:rsid w:val="43707776"/>
    <w:rsid w:val="44882C25"/>
    <w:rsid w:val="46701448"/>
    <w:rsid w:val="467B6B5D"/>
    <w:rsid w:val="47252EC1"/>
    <w:rsid w:val="49170DBF"/>
    <w:rsid w:val="497627D8"/>
    <w:rsid w:val="4B1959DE"/>
    <w:rsid w:val="4C940A73"/>
    <w:rsid w:val="4D6A779D"/>
    <w:rsid w:val="4F8F5D07"/>
    <w:rsid w:val="4FA12577"/>
    <w:rsid w:val="501E6ED7"/>
    <w:rsid w:val="51A9087E"/>
    <w:rsid w:val="51DB5417"/>
    <w:rsid w:val="52421F5E"/>
    <w:rsid w:val="529B05C3"/>
    <w:rsid w:val="561D6209"/>
    <w:rsid w:val="59BE5287"/>
    <w:rsid w:val="5AAE12BF"/>
    <w:rsid w:val="5B885EC5"/>
    <w:rsid w:val="5E27164D"/>
    <w:rsid w:val="5F8515AA"/>
    <w:rsid w:val="61AD7043"/>
    <w:rsid w:val="61EF0CFE"/>
    <w:rsid w:val="622017FD"/>
    <w:rsid w:val="6241781E"/>
    <w:rsid w:val="62864182"/>
    <w:rsid w:val="63494A84"/>
    <w:rsid w:val="63F7561D"/>
    <w:rsid w:val="644E591D"/>
    <w:rsid w:val="64512D0C"/>
    <w:rsid w:val="662F68D9"/>
    <w:rsid w:val="67140D8B"/>
    <w:rsid w:val="67795623"/>
    <w:rsid w:val="692642F2"/>
    <w:rsid w:val="696D7EDF"/>
    <w:rsid w:val="6C263542"/>
    <w:rsid w:val="6C9550C9"/>
    <w:rsid w:val="6E082AE5"/>
    <w:rsid w:val="6E906D9A"/>
    <w:rsid w:val="6F5F1B23"/>
    <w:rsid w:val="732A5AB1"/>
    <w:rsid w:val="73BC26EA"/>
    <w:rsid w:val="74A86F40"/>
    <w:rsid w:val="765134A8"/>
    <w:rsid w:val="78251844"/>
    <w:rsid w:val="79873484"/>
    <w:rsid w:val="7A7632E8"/>
    <w:rsid w:val="7CC67A84"/>
    <w:rsid w:val="7ED31C58"/>
    <w:rsid w:val="7F157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ind w:left="120"/>
      <w:jc w:val="left"/>
    </w:pPr>
    <w:rPr>
      <w:rFonts w:ascii="Adobe ｷﾂﾋﾎ Std R" w:hAnsi="Times New Roman" w:eastAsia="Adobe ｷﾂﾋﾎ Std R" w:cs="Adobe ｷﾂﾋﾎ Std R"/>
      <w:kern w:val="0"/>
      <w:sz w:val="32"/>
      <w:szCs w:val="32"/>
    </w:rPr>
  </w:style>
  <w:style w:type="paragraph" w:styleId="3">
    <w:name w:val="Body Text Indent 2"/>
    <w:basedOn w:val="1"/>
    <w:autoRedefine/>
    <w:unhideWhenUsed/>
    <w:qFormat/>
    <w:uiPriority w:val="99"/>
    <w:pPr>
      <w:spacing w:line="360" w:lineRule="auto"/>
      <w:ind w:firstLine="440" w:firstLineChars="200"/>
    </w:pPr>
    <w:rPr>
      <w:sz w:val="24"/>
      <w:szCs w:val="24"/>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w:basedOn w:val="2"/>
    <w:next w:val="1"/>
    <w:autoRedefine/>
    <w:qFormat/>
    <w:uiPriority w:val="0"/>
    <w:pPr>
      <w:ind w:firstLine="420" w:firstLineChars="100"/>
    </w:pPr>
    <w:rPr>
      <w:rFonts w:ascii="Times New Roman" w:hAnsi="Times New Roman" w:eastAsia="宋体" w:cs="Times New Roman"/>
      <w:szCs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qFormat/>
    <w:uiPriority w:val="0"/>
  </w:style>
  <w:style w:type="character" w:styleId="12">
    <w:name w:val="Emphasis"/>
    <w:basedOn w:val="10"/>
    <w:autoRedefine/>
    <w:qFormat/>
    <w:uiPriority w:val="20"/>
    <w:rPr>
      <w:i/>
    </w:rPr>
  </w:style>
  <w:style w:type="character" w:customStyle="1" w:styleId="13">
    <w:name w:val="页眉 Char"/>
    <w:basedOn w:val="10"/>
    <w:link w:val="5"/>
    <w:autoRedefine/>
    <w:qFormat/>
    <w:uiPriority w:val="99"/>
    <w:rPr>
      <w:sz w:val="18"/>
      <w:szCs w:val="18"/>
    </w:rPr>
  </w:style>
  <w:style w:type="character" w:customStyle="1" w:styleId="14">
    <w:name w:val="页脚 Char"/>
    <w:basedOn w:val="10"/>
    <w:link w:val="4"/>
    <w:autoRedefine/>
    <w:qFormat/>
    <w:uiPriority w:val="99"/>
    <w:rPr>
      <w:sz w:val="18"/>
      <w:szCs w:val="18"/>
    </w:rPr>
  </w:style>
  <w:style w:type="paragraph"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1002</Characters>
  <Lines>5</Lines>
  <Paragraphs>1</Paragraphs>
  <TotalTime>2</TotalTime>
  <ScaleCrop>false</ScaleCrop>
  <LinksUpToDate>false</LinksUpToDate>
  <CharactersWithSpaces>1002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2021-05-11T06:41:00Z</dcterms:created>
  <dc:creator>haizhougxj</dc:creator>
  <cp:lastModifiedBy>NTKO</cp:lastModifiedBy>
  <cp:lastPrinted>2024-06-25T08:42:00Z</cp:lastPrinted>
  <dcterms:modified xsi:type="dcterms:W3CDTF">2025-03-04T07:41:07Z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C41C5375BE7F4F56B43D1D24A0BD4CA5_13</vt:lpwstr>
  </property>
  <property fmtid="{D5CDD505-2E9C-101B-9397-08002B2CF9AE}" pid="4" name="KSOSaveFontToCloudKey">
    <vt:lpwstr>228983622_embed</vt:lpwstr>
  </property>
  <property fmtid="{D5CDD505-2E9C-101B-9397-08002B2CF9AE}" pid="5" name="KSOTemplateDocerSaveRecord">
    <vt:lpwstr>eyJoZGlkIjoiODIzNTc5ZmZmZDE2MTAzZjdkMjJlMTMzZGUwMDhiNzYiLCJ1c2VySWQiOiI4MjkxODQ3NTEifQ==</vt:lpwstr>
  </property>
</Properties>
</file>