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75976">
      <w:pPr>
        <w:keepNext w:val="0"/>
        <w:keepLines w:val="0"/>
        <w:pageBreakBefore w:val="0"/>
        <w:widowControl w:val="0"/>
        <w:kinsoku/>
        <w:wordWrap/>
        <w:overflowPunct/>
        <w:topLinePunct w:val="0"/>
        <w:autoSpaceDE/>
        <w:autoSpaceDN/>
        <w:bidi w:val="0"/>
        <w:adjustRightInd/>
        <w:snapToGrid/>
        <w:textAlignment w:val="auto"/>
        <w:rPr>
          <w:rFonts w:hint="default"/>
        </w:rPr>
      </w:pPr>
    </w:p>
    <w:p w14:paraId="2D3FD5EA">
      <w:pPr>
        <w:keepNext w:val="0"/>
        <w:keepLines w:val="0"/>
        <w:pageBreakBefore w:val="0"/>
        <w:widowControl w:val="0"/>
        <w:kinsoku/>
        <w:wordWrap/>
        <w:overflowPunct/>
        <w:topLinePunct w:val="0"/>
        <w:autoSpaceDE/>
        <w:autoSpaceDN/>
        <w:bidi w:val="0"/>
        <w:adjustRightInd/>
        <w:snapToGrid/>
        <w:textAlignment w:val="auto"/>
        <w:rPr>
          <w:rFonts w:hint="default"/>
        </w:rPr>
      </w:pPr>
    </w:p>
    <w:p w14:paraId="04FE47E1">
      <w:pPr>
        <w:keepNext w:val="0"/>
        <w:keepLines w:val="0"/>
        <w:pageBreakBefore w:val="0"/>
        <w:widowControl w:val="0"/>
        <w:kinsoku/>
        <w:wordWrap/>
        <w:overflowPunct/>
        <w:topLinePunct w:val="0"/>
        <w:autoSpaceDE/>
        <w:autoSpaceDN/>
        <w:bidi w:val="0"/>
        <w:adjustRightInd/>
        <w:snapToGrid/>
        <w:textAlignment w:val="auto"/>
        <w:rPr>
          <w:rFonts w:hint="default"/>
        </w:rPr>
      </w:pPr>
    </w:p>
    <w:p w14:paraId="2A183C5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ascii="方正小标宋_GBK" w:hAnsi="方正小标宋_GBK" w:eastAsia="方正小标宋_GBK" w:cs="方正小标宋_GBK"/>
          <w:sz w:val="44"/>
          <w:szCs w:val="44"/>
          <w:lang w:val="en-US" w:eastAsia="zh-CN"/>
        </w:rPr>
      </w:pPr>
      <w:bookmarkStart w:id="0" w:name="_Toc26435"/>
      <w:r>
        <w:rPr>
          <w:rFonts w:hint="eastAsia" w:ascii="方正小标宋_GBK" w:hAnsi="方正小标宋_GBK" w:eastAsia="方正小标宋_GBK" w:cs="方正小标宋_GBK"/>
          <w:sz w:val="44"/>
          <w:szCs w:val="44"/>
          <w:lang w:eastAsia="zh-CN"/>
        </w:rPr>
        <w:t>海州</w:t>
      </w:r>
      <w:r>
        <w:rPr>
          <w:rFonts w:hint="eastAsia" w:ascii="方正小标宋_GBK" w:hAnsi="方正小标宋_GBK" w:eastAsia="方正小标宋_GBK" w:cs="方正小标宋_GBK"/>
          <w:sz w:val="44"/>
          <w:szCs w:val="44"/>
          <w:lang w:val="en-US" w:eastAsia="zh-CN"/>
        </w:rPr>
        <w:t>浦南中益合新能源有限公司</w:t>
      </w:r>
      <w:bookmarkEnd w:id="0"/>
    </w:p>
    <w:p w14:paraId="7ED0630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_GBK" w:hAnsi="方正小标宋_GBK" w:eastAsia="方正小标宋_GBK" w:cs="方正小标宋_GBK"/>
          <w:sz w:val="44"/>
          <w:szCs w:val="44"/>
        </w:rPr>
      </w:pPr>
      <w:bookmarkStart w:id="1" w:name="报告名称1B"/>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·1</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”一般</w:t>
      </w:r>
      <w:bookmarkEnd w:id="1"/>
      <w:r>
        <w:rPr>
          <w:rFonts w:hint="eastAsia" w:ascii="方正小标宋_GBK" w:hAnsi="方正小标宋_GBK" w:eastAsia="方正小标宋_GBK" w:cs="方正小标宋_GBK"/>
          <w:sz w:val="44"/>
          <w:szCs w:val="44"/>
          <w:lang w:val="en-US" w:eastAsia="zh-CN"/>
        </w:rPr>
        <w:t>高处坠落</w:t>
      </w:r>
      <w:r>
        <w:rPr>
          <w:rFonts w:hint="eastAsia" w:ascii="方正小标宋_GBK" w:hAnsi="方正小标宋_GBK" w:eastAsia="方正小标宋_GBK" w:cs="方正小标宋_GBK"/>
          <w:sz w:val="44"/>
          <w:szCs w:val="44"/>
        </w:rPr>
        <w:t>事故调查报告</w:t>
      </w:r>
    </w:p>
    <w:p w14:paraId="1B74A418">
      <w:pPr>
        <w:keepNext w:val="0"/>
        <w:keepLines w:val="0"/>
        <w:pageBreakBefore w:val="0"/>
        <w:widowControl w:val="0"/>
        <w:kinsoku/>
        <w:wordWrap/>
        <w:overflowPunct/>
        <w:topLinePunct w:val="0"/>
        <w:autoSpaceDE/>
        <w:autoSpaceDN/>
        <w:bidi w:val="0"/>
        <w:adjustRightInd/>
        <w:snapToGrid/>
        <w:textAlignment w:val="auto"/>
        <w:rPr>
          <w:rFonts w:hint="default"/>
        </w:rPr>
      </w:pPr>
    </w:p>
    <w:p w14:paraId="64C7F360">
      <w:pPr>
        <w:keepNext w:val="0"/>
        <w:keepLines w:val="0"/>
        <w:pageBreakBefore w:val="0"/>
        <w:widowControl w:val="0"/>
        <w:kinsoku/>
        <w:wordWrap/>
        <w:overflowPunct/>
        <w:topLinePunct w:val="0"/>
        <w:autoSpaceDE/>
        <w:autoSpaceDN/>
        <w:bidi w:val="0"/>
        <w:adjustRightInd/>
        <w:snapToGrid/>
        <w:textAlignment w:val="auto"/>
        <w:rPr>
          <w:rFonts w:hint="default"/>
        </w:rPr>
      </w:pPr>
    </w:p>
    <w:p w14:paraId="65D08EBA">
      <w:pPr>
        <w:keepNext w:val="0"/>
        <w:keepLines w:val="0"/>
        <w:pageBreakBefore w:val="0"/>
        <w:widowControl w:val="0"/>
        <w:kinsoku/>
        <w:wordWrap/>
        <w:overflowPunct/>
        <w:topLinePunct w:val="0"/>
        <w:autoSpaceDE/>
        <w:autoSpaceDN/>
        <w:bidi w:val="0"/>
        <w:adjustRightInd/>
        <w:snapToGrid/>
        <w:textAlignment w:val="auto"/>
        <w:rPr>
          <w:rFonts w:hint="default"/>
        </w:rPr>
      </w:pPr>
    </w:p>
    <w:p w14:paraId="0D006225">
      <w:pPr>
        <w:keepNext w:val="0"/>
        <w:keepLines w:val="0"/>
        <w:pageBreakBefore w:val="0"/>
        <w:widowControl w:val="0"/>
        <w:kinsoku/>
        <w:wordWrap/>
        <w:overflowPunct/>
        <w:topLinePunct w:val="0"/>
        <w:autoSpaceDE/>
        <w:autoSpaceDN/>
        <w:bidi w:val="0"/>
        <w:adjustRightInd/>
        <w:snapToGrid/>
        <w:textAlignment w:val="auto"/>
        <w:rPr>
          <w:rFonts w:hint="default"/>
        </w:rPr>
      </w:pPr>
    </w:p>
    <w:p w14:paraId="62C1E07C">
      <w:pPr>
        <w:keepNext w:val="0"/>
        <w:keepLines w:val="0"/>
        <w:pageBreakBefore w:val="0"/>
        <w:widowControl w:val="0"/>
        <w:kinsoku/>
        <w:wordWrap/>
        <w:overflowPunct/>
        <w:topLinePunct w:val="0"/>
        <w:autoSpaceDE/>
        <w:autoSpaceDN/>
        <w:bidi w:val="0"/>
        <w:adjustRightInd/>
        <w:snapToGrid/>
        <w:textAlignment w:val="auto"/>
        <w:rPr>
          <w:rFonts w:hint="default"/>
        </w:rPr>
      </w:pPr>
    </w:p>
    <w:p w14:paraId="358ADBDE">
      <w:pPr>
        <w:keepNext w:val="0"/>
        <w:keepLines w:val="0"/>
        <w:pageBreakBefore w:val="0"/>
        <w:widowControl w:val="0"/>
        <w:kinsoku/>
        <w:wordWrap/>
        <w:overflowPunct/>
        <w:topLinePunct w:val="0"/>
        <w:autoSpaceDE/>
        <w:autoSpaceDN/>
        <w:bidi w:val="0"/>
        <w:adjustRightInd/>
        <w:snapToGrid/>
        <w:textAlignment w:val="auto"/>
        <w:rPr>
          <w:rFonts w:hint="default"/>
        </w:rPr>
      </w:pPr>
    </w:p>
    <w:p w14:paraId="472E98E4">
      <w:pPr>
        <w:keepNext w:val="0"/>
        <w:keepLines w:val="0"/>
        <w:pageBreakBefore w:val="0"/>
        <w:widowControl w:val="0"/>
        <w:kinsoku/>
        <w:wordWrap/>
        <w:overflowPunct/>
        <w:topLinePunct w:val="0"/>
        <w:autoSpaceDE/>
        <w:autoSpaceDN/>
        <w:bidi w:val="0"/>
        <w:adjustRightInd/>
        <w:snapToGrid/>
        <w:textAlignment w:val="auto"/>
        <w:rPr>
          <w:rFonts w:hint="default"/>
        </w:rPr>
      </w:pPr>
    </w:p>
    <w:p w14:paraId="27CE3BBA">
      <w:pPr>
        <w:keepNext w:val="0"/>
        <w:keepLines w:val="0"/>
        <w:pageBreakBefore w:val="0"/>
        <w:widowControl w:val="0"/>
        <w:kinsoku/>
        <w:wordWrap/>
        <w:overflowPunct/>
        <w:topLinePunct w:val="0"/>
        <w:autoSpaceDE/>
        <w:autoSpaceDN/>
        <w:bidi w:val="0"/>
        <w:adjustRightInd/>
        <w:snapToGrid/>
        <w:textAlignment w:val="auto"/>
        <w:rPr>
          <w:rFonts w:hint="default"/>
        </w:rPr>
      </w:pPr>
    </w:p>
    <w:p w14:paraId="07A60630">
      <w:pPr>
        <w:keepNext w:val="0"/>
        <w:keepLines w:val="0"/>
        <w:pageBreakBefore w:val="0"/>
        <w:widowControl w:val="0"/>
        <w:kinsoku/>
        <w:wordWrap/>
        <w:overflowPunct/>
        <w:topLinePunct w:val="0"/>
        <w:autoSpaceDE/>
        <w:autoSpaceDN/>
        <w:bidi w:val="0"/>
        <w:adjustRightInd/>
        <w:snapToGrid/>
        <w:textAlignment w:val="auto"/>
        <w:rPr>
          <w:rFonts w:hint="default"/>
        </w:rPr>
      </w:pPr>
    </w:p>
    <w:p w14:paraId="73FBE1D0">
      <w:pPr>
        <w:keepNext w:val="0"/>
        <w:keepLines w:val="0"/>
        <w:pageBreakBefore w:val="0"/>
        <w:widowControl w:val="0"/>
        <w:kinsoku/>
        <w:wordWrap/>
        <w:overflowPunct/>
        <w:topLinePunct w:val="0"/>
        <w:autoSpaceDE/>
        <w:autoSpaceDN/>
        <w:bidi w:val="0"/>
        <w:adjustRightInd/>
        <w:snapToGrid/>
        <w:textAlignment w:val="auto"/>
        <w:rPr>
          <w:rFonts w:hint="default"/>
        </w:rPr>
      </w:pPr>
    </w:p>
    <w:p w14:paraId="6D44BB46">
      <w:pPr>
        <w:keepNext w:val="0"/>
        <w:keepLines w:val="0"/>
        <w:pageBreakBefore w:val="0"/>
        <w:widowControl w:val="0"/>
        <w:kinsoku/>
        <w:wordWrap/>
        <w:overflowPunct/>
        <w:topLinePunct w:val="0"/>
        <w:autoSpaceDE/>
        <w:autoSpaceDN/>
        <w:bidi w:val="0"/>
        <w:adjustRightInd/>
        <w:snapToGrid/>
        <w:textAlignment w:val="auto"/>
        <w:rPr>
          <w:rFonts w:hint="default"/>
        </w:rPr>
      </w:pPr>
    </w:p>
    <w:p w14:paraId="42CDD3FB">
      <w:pPr>
        <w:keepNext w:val="0"/>
        <w:keepLines w:val="0"/>
        <w:pageBreakBefore w:val="0"/>
        <w:widowControl w:val="0"/>
        <w:kinsoku/>
        <w:wordWrap/>
        <w:overflowPunct/>
        <w:topLinePunct w:val="0"/>
        <w:autoSpaceDE/>
        <w:autoSpaceDN/>
        <w:bidi w:val="0"/>
        <w:adjustRightInd/>
        <w:snapToGrid/>
        <w:textAlignment w:val="auto"/>
        <w:rPr>
          <w:rFonts w:hint="default"/>
        </w:rPr>
      </w:pPr>
    </w:p>
    <w:p w14:paraId="6D4A235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default"/>
        </w:rPr>
      </w:pPr>
      <w:bookmarkStart w:id="2" w:name="编制单位"/>
      <w:bookmarkStart w:id="3" w:name="_Toc27848"/>
      <w:r>
        <w:rPr>
          <w:rFonts w:hint="default"/>
        </w:rPr>
        <w:t>海州区人民政府</w:t>
      </w:r>
      <w:bookmarkEnd w:id="2"/>
      <w:r>
        <w:rPr>
          <w:rFonts w:hint="default"/>
        </w:rPr>
        <w:t>事故调查组</w:t>
      </w:r>
      <w:bookmarkEnd w:id="3"/>
    </w:p>
    <w:p w14:paraId="0599A1A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pgNumType w:fmt="decimal" w:start="1"/>
          <w:cols w:space="0" w:num="1"/>
          <w:rtlGutter w:val="0"/>
          <w:docGrid w:type="lines" w:linePitch="312" w:charSpace="0"/>
        </w:sectPr>
      </w:pPr>
      <w:bookmarkStart w:id="4" w:name="编制年"/>
      <w:r>
        <w:rPr>
          <w:rFonts w:hint="default"/>
        </w:rPr>
        <w:t>202</w:t>
      </w:r>
      <w:bookmarkEnd w:id="4"/>
      <w:r>
        <w:rPr>
          <w:rFonts w:hint="eastAsia"/>
          <w:lang w:val="en-US" w:eastAsia="zh-CN"/>
        </w:rPr>
        <w:t>5</w:t>
      </w:r>
      <w:r>
        <w:rPr>
          <w:rFonts w:hint="default"/>
        </w:rPr>
        <w:t>年</w:t>
      </w:r>
      <w:r>
        <w:rPr>
          <w:rFonts w:hint="eastAsia"/>
          <w:lang w:val="en-US" w:eastAsia="zh-CN"/>
        </w:rPr>
        <w:t>4</w:t>
      </w:r>
      <w:r>
        <w:rPr>
          <w:rFonts w:hint="default"/>
        </w:rPr>
        <w:t>月</w:t>
      </w:r>
    </w:p>
    <w:p w14:paraId="71BEB010">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01F6FEBD">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2D379D6F">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27700288">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3A0AAD37">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0A524BF">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94FAF7F">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5FAA8DF">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C99875A">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33243AB6">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0D7D1D48">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9E643C2">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0CB54E16">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62190C5D">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24EE0D5">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CC11090">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16BB85A">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01D970A">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AD352A4">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347CD879">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1D10CB33">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7C8A694">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05BF17A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sectPr>
          <w:pgSz w:w="11906" w:h="16838"/>
          <w:pgMar w:top="2098" w:right="1474" w:bottom="1984" w:left="1587" w:header="851" w:footer="992" w:gutter="0"/>
          <w:cols w:space="0" w:num="1"/>
          <w:rtlGutter w:val="0"/>
          <w:docGrid w:type="lines" w:linePitch="312" w:charSpace="0"/>
        </w:sectPr>
      </w:pPr>
    </w:p>
    <w:p w14:paraId="70020E4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p>
    <w:sdt>
      <w:sdtPr>
        <w:rPr>
          <w:rFonts w:ascii="宋体" w:hAnsi="宋体" w:eastAsia="宋体" w:cstheme="minorBidi"/>
          <w:kern w:val="2"/>
          <w:sz w:val="21"/>
          <w:szCs w:val="22"/>
          <w:lang w:val="en-US" w:eastAsia="zh-CN" w:bidi="ar-SA"/>
        </w:rPr>
        <w:id w:val="147479649"/>
        <w15:color w:val="DBDBDB"/>
        <w:docPartObj>
          <w:docPartGallery w:val="Table of Contents"/>
          <w:docPartUnique/>
        </w:docPartObj>
      </w:sdtPr>
      <w:sdtEndPr>
        <w:rPr>
          <w:rFonts w:hint="eastAsia" w:asciiTheme="majorEastAsia" w:hAnsiTheme="majorEastAsia" w:eastAsiaTheme="majorEastAsia" w:cstheme="majorEastAsia"/>
          <w:kern w:val="2"/>
          <w:sz w:val="24"/>
          <w:szCs w:val="24"/>
          <w:lang w:val="en-US" w:eastAsia="zh-CN" w:bidi="ar-SA"/>
        </w:rPr>
      </w:sdtEndPr>
      <w:sdtContent>
        <w:p w14:paraId="10B710F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sz w:val="32"/>
              <w:szCs w:val="32"/>
            </w:rPr>
          </w:pPr>
          <w:r>
            <w:rPr>
              <w:rFonts w:ascii="宋体" w:hAnsi="宋体" w:eastAsia="宋体"/>
              <w:b/>
              <w:bCs/>
              <w:sz w:val="32"/>
              <w:szCs w:val="32"/>
            </w:rPr>
            <w:t>目</w:t>
          </w:r>
          <w:r>
            <w:rPr>
              <w:rFonts w:hint="eastAsia" w:ascii="宋体" w:hAnsi="宋体" w:eastAsia="宋体"/>
              <w:b/>
              <w:bCs/>
              <w:sz w:val="32"/>
              <w:szCs w:val="32"/>
              <w:lang w:eastAsia="zh-CN"/>
            </w:rPr>
            <w:t>　</w:t>
          </w:r>
          <w:r>
            <w:rPr>
              <w:rFonts w:ascii="宋体" w:hAnsi="宋体" w:eastAsia="宋体"/>
              <w:b/>
              <w:bCs/>
              <w:sz w:val="32"/>
              <w:szCs w:val="32"/>
            </w:rPr>
            <w:t>录</w:t>
          </w:r>
        </w:p>
        <w:p w14:paraId="08463DB2">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eastAsia="仿宋_GB2312" w:cstheme="minorBidi"/>
              <w:kern w:val="2"/>
              <w:sz w:val="24"/>
              <w:szCs w:val="24"/>
              <w:lang w:val="en-US" w:eastAsia="zh-CN" w:bidi="ar-SA"/>
            </w:rPr>
            <w:fldChar w:fldCharType="begin"/>
          </w:r>
          <w:r>
            <w:rPr>
              <w:rFonts w:hint="eastAsia" w:ascii="Times New Roman" w:hAnsi="Times New Roman" w:eastAsia="仿宋_GB2312" w:cstheme="minorBidi"/>
              <w:kern w:val="2"/>
              <w:sz w:val="24"/>
              <w:szCs w:val="24"/>
              <w:lang w:val="en-US" w:eastAsia="zh-CN" w:bidi="ar-SA"/>
            </w:rPr>
            <w:instrText xml:space="preserve">TOC \o "1-3" \h \u </w:instrText>
          </w:r>
          <w:r>
            <w:rPr>
              <w:rFonts w:hint="eastAsia" w:ascii="Times New Roman" w:hAnsi="Times New Roman" w:eastAsia="仿宋_GB2312" w:cstheme="minorBidi"/>
              <w:kern w:val="2"/>
              <w:sz w:val="24"/>
              <w:szCs w:val="24"/>
              <w:lang w:val="en-US" w:eastAsia="zh-CN" w:bidi="ar-SA"/>
            </w:rPr>
            <w:fldChar w:fldCharType="separate"/>
          </w:r>
        </w:p>
        <w:p w14:paraId="58D213A9">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eastAsia="仿宋_GB2312" w:cstheme="minorBidi"/>
              <w:kern w:val="2"/>
              <w:sz w:val="24"/>
              <w:szCs w:val="24"/>
              <w:lang w:val="en-US" w:eastAsia="zh-CN" w:bidi="ar-SA"/>
            </w:rPr>
            <w:t>　</w:t>
          </w:r>
          <w:r>
            <w:rPr>
              <w:rFonts w:hint="eastAsia" w:ascii="Times New Roman" w:hAnsi="Times New Roman" w:eastAsia="仿宋_GB2312" w:cstheme="minorBidi"/>
              <w:kern w:val="2"/>
              <w:sz w:val="24"/>
              <w:szCs w:val="24"/>
              <w:lang w:val="en-US" w:eastAsia="zh-CN" w:bidi="ar-SA"/>
            </w:rPr>
            <w:fldChar w:fldCharType="begin"/>
          </w:r>
          <w:r>
            <w:rPr>
              <w:rFonts w:hint="eastAsia" w:ascii="Times New Roman" w:hAnsi="Times New Roman" w:eastAsia="仿宋_GB2312" w:cstheme="minorBidi"/>
              <w:kern w:val="2"/>
              <w:sz w:val="24"/>
              <w:szCs w:val="24"/>
              <w:lang w:val="en-US" w:eastAsia="zh-CN" w:bidi="ar-SA"/>
            </w:rPr>
            <w:instrText xml:space="preserve"> HYPERLINK \l _Toc17805 </w:instrText>
          </w:r>
          <w:r>
            <w:rPr>
              <w:rFonts w:hint="eastAsia" w:ascii="Times New Roman" w:hAnsi="Times New Roman" w:eastAsia="仿宋_GB2312" w:cstheme="minorBidi"/>
              <w:kern w:val="2"/>
              <w:sz w:val="24"/>
              <w:szCs w:val="24"/>
              <w:lang w:val="en-US" w:eastAsia="zh-CN" w:bidi="ar-SA"/>
            </w:rPr>
            <w:fldChar w:fldCharType="separate"/>
          </w:r>
          <w:r>
            <w:rPr>
              <w:rFonts w:hint="eastAsia" w:ascii="黑体" w:hAnsi="黑体" w:eastAsia="黑体" w:cs="黑体"/>
              <w:sz w:val="24"/>
              <w:szCs w:val="24"/>
              <w:lang w:val="en-US" w:eastAsia="zh-CN"/>
            </w:rPr>
            <w:t>一、事故基本情况</w:t>
          </w:r>
          <w:r>
            <w:rPr>
              <w:sz w:val="24"/>
              <w:szCs w:val="24"/>
            </w:rPr>
            <w:tab/>
          </w:r>
          <w:r>
            <w:rPr>
              <w:sz w:val="24"/>
              <w:szCs w:val="24"/>
            </w:rPr>
            <w:fldChar w:fldCharType="begin"/>
          </w:r>
          <w:r>
            <w:rPr>
              <w:sz w:val="24"/>
              <w:szCs w:val="24"/>
            </w:rPr>
            <w:instrText xml:space="preserve"> PAGEREF _Toc17805 \h </w:instrText>
          </w:r>
          <w:r>
            <w:rPr>
              <w:sz w:val="24"/>
              <w:szCs w:val="24"/>
            </w:rPr>
            <w:fldChar w:fldCharType="separate"/>
          </w:r>
          <w:r>
            <w:rPr>
              <w:sz w:val="24"/>
              <w:szCs w:val="24"/>
            </w:rPr>
            <w:t>1</w:t>
          </w:r>
          <w:r>
            <w:rPr>
              <w:sz w:val="24"/>
              <w:szCs w:val="24"/>
            </w:rPr>
            <w:fldChar w:fldCharType="end"/>
          </w:r>
          <w:r>
            <w:rPr>
              <w:rFonts w:hint="eastAsia" w:ascii="Times New Roman" w:hAnsi="Times New Roman" w:eastAsia="仿宋_GB2312" w:cstheme="minorBidi"/>
              <w:kern w:val="2"/>
              <w:sz w:val="24"/>
              <w:szCs w:val="24"/>
              <w:lang w:val="en-US" w:eastAsia="zh-CN" w:bidi="ar-SA"/>
            </w:rPr>
            <w:fldChar w:fldCharType="end"/>
          </w:r>
        </w:p>
        <w:p w14:paraId="1420E19E">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_Toc22319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（一）相关单位情况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_Toc22319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21713F93">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_Toc1704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（二）户用光伏项目概况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_Toc1704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429B625C">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_Toc25231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（三）户用光伏项目申报备案情况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_Toc25231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777A3F31">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_Toc2450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（四）现场勘察情况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_Toc2450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7C25EC98">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_Toc14161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（五）事故发生经过及应急处置情况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_Toc14161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453FA9DC">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宋体" w:cstheme="minorBidi"/>
              <w:kern w:val="2"/>
              <w:sz w:val="24"/>
              <w:szCs w:val="24"/>
              <w:lang w:val="en-US" w:eastAsia="zh-CN" w:bidi="ar-SA"/>
            </w:rPr>
          </w:pPr>
          <w:r>
            <w:rPr>
              <w:rFonts w:hint="eastAsia" w:ascii="黑体" w:hAnsi="黑体" w:eastAsia="黑体" w:cs="黑体"/>
              <w:kern w:val="2"/>
              <w:sz w:val="24"/>
              <w:szCs w:val="24"/>
              <w:lang w:val="en-US" w:eastAsia="zh-CN" w:bidi="ar-SA"/>
            </w:rPr>
            <w:t>　二、事故原因分析</w:t>
          </w:r>
          <w:r>
            <w:rPr>
              <w:sz w:val="24"/>
              <w:szCs w:val="24"/>
            </w:rPr>
            <w:tab/>
          </w:r>
          <w:r>
            <w:rPr>
              <w:rFonts w:hint="eastAsia" w:asciiTheme="majorEastAsia" w:hAnsiTheme="majorEastAsia" w:eastAsiaTheme="majorEastAsia" w:cstheme="majorEastAsia"/>
              <w:sz w:val="24"/>
              <w:szCs w:val="24"/>
              <w:lang w:val="en-US" w:eastAsia="zh-CN"/>
            </w:rPr>
            <w:t>6</w:t>
          </w:r>
        </w:p>
        <w:p w14:paraId="71A12736">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　　　（一）缺乏安全意识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6</w:t>
          </w:r>
        </w:p>
        <w:p w14:paraId="12356A65">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　　　（二）作业面光滑</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6</w:t>
          </w:r>
        </w:p>
        <w:p w14:paraId="68B45AE0">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　　　（三）缺乏安全防护</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6</w:t>
          </w:r>
        </w:p>
        <w:p w14:paraId="0FCFDB20">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eastAsia="仿宋_GB2312" w:cstheme="minorBidi"/>
              <w:kern w:val="2"/>
              <w:sz w:val="24"/>
              <w:szCs w:val="24"/>
              <w:lang w:val="en-US" w:eastAsia="zh-CN" w:bidi="ar-SA"/>
            </w:rPr>
            <w:t>　</w:t>
          </w:r>
          <w:r>
            <w:rPr>
              <w:rFonts w:hint="eastAsia" w:ascii="Times New Roman" w:hAnsi="Times New Roman" w:eastAsia="仿宋_GB2312" w:cstheme="minorBidi"/>
              <w:kern w:val="2"/>
              <w:sz w:val="24"/>
              <w:szCs w:val="24"/>
              <w:lang w:val="en-US" w:eastAsia="zh-CN" w:bidi="ar-SA"/>
            </w:rPr>
            <w:fldChar w:fldCharType="begin"/>
          </w:r>
          <w:r>
            <w:rPr>
              <w:rFonts w:hint="eastAsia" w:ascii="Times New Roman" w:hAnsi="Times New Roman" w:eastAsia="仿宋_GB2312" w:cstheme="minorBidi"/>
              <w:kern w:val="2"/>
              <w:sz w:val="24"/>
              <w:szCs w:val="24"/>
              <w:lang w:val="en-US" w:eastAsia="zh-CN" w:bidi="ar-SA"/>
            </w:rPr>
            <w:instrText xml:space="preserve"> HYPERLINK \l _Toc3309 </w:instrText>
          </w:r>
          <w:r>
            <w:rPr>
              <w:rFonts w:hint="eastAsia" w:ascii="Times New Roman" w:hAnsi="Times New Roman" w:eastAsia="仿宋_GB2312" w:cstheme="minorBidi"/>
              <w:kern w:val="2"/>
              <w:sz w:val="24"/>
              <w:szCs w:val="24"/>
              <w:lang w:val="en-US" w:eastAsia="zh-CN" w:bidi="ar-SA"/>
            </w:rPr>
            <w:fldChar w:fldCharType="separate"/>
          </w:r>
          <w:r>
            <w:rPr>
              <w:rFonts w:hint="eastAsia" w:ascii="黑体" w:hAnsi="黑体" w:eastAsia="黑体" w:cs="黑体"/>
              <w:sz w:val="24"/>
              <w:szCs w:val="24"/>
              <w:lang w:val="en-US" w:eastAsia="zh-CN"/>
            </w:rPr>
            <w:t>三</w:t>
          </w:r>
          <w:r>
            <w:rPr>
              <w:rFonts w:hint="eastAsia" w:ascii="黑体" w:hAnsi="黑体" w:eastAsia="黑体" w:cs="黑体"/>
              <w:sz w:val="24"/>
              <w:szCs w:val="24"/>
            </w:rPr>
            <w:t>、</w:t>
          </w:r>
          <w:r>
            <w:rPr>
              <w:rFonts w:hint="eastAsia" w:ascii="黑体" w:hAnsi="黑体" w:eastAsia="黑体" w:cs="黑体"/>
              <w:sz w:val="24"/>
              <w:szCs w:val="24"/>
              <w:lang w:eastAsia="zh-CN"/>
            </w:rPr>
            <w:t>事故暴露出的</w:t>
          </w:r>
          <w:r>
            <w:rPr>
              <w:rFonts w:hint="eastAsia" w:ascii="黑体" w:hAnsi="黑体" w:eastAsia="黑体" w:cs="黑体"/>
              <w:sz w:val="24"/>
              <w:szCs w:val="24"/>
            </w:rPr>
            <w:t>主要问题</w:t>
          </w:r>
          <w:r>
            <w:rPr>
              <w:sz w:val="24"/>
              <w:szCs w:val="24"/>
            </w:rPr>
            <w:tab/>
          </w:r>
          <w:r>
            <w:rPr>
              <w:sz w:val="24"/>
              <w:szCs w:val="24"/>
            </w:rPr>
            <w:fldChar w:fldCharType="begin"/>
          </w:r>
          <w:r>
            <w:rPr>
              <w:sz w:val="24"/>
              <w:szCs w:val="24"/>
            </w:rPr>
            <w:instrText xml:space="preserve"> PAGEREF _Toc3309 \h </w:instrText>
          </w:r>
          <w:r>
            <w:rPr>
              <w:sz w:val="24"/>
              <w:szCs w:val="24"/>
            </w:rPr>
            <w:fldChar w:fldCharType="separate"/>
          </w:r>
          <w:r>
            <w:rPr>
              <w:sz w:val="24"/>
              <w:szCs w:val="24"/>
            </w:rPr>
            <w:t>6</w:t>
          </w:r>
          <w:r>
            <w:rPr>
              <w:sz w:val="24"/>
              <w:szCs w:val="24"/>
            </w:rPr>
            <w:fldChar w:fldCharType="end"/>
          </w:r>
          <w:r>
            <w:rPr>
              <w:rFonts w:hint="eastAsia" w:ascii="Times New Roman" w:hAnsi="Times New Roman" w:eastAsia="仿宋_GB2312" w:cstheme="minorBidi"/>
              <w:kern w:val="2"/>
              <w:sz w:val="24"/>
              <w:szCs w:val="24"/>
              <w:lang w:val="en-US" w:eastAsia="zh-CN" w:bidi="ar-SA"/>
            </w:rPr>
            <w:fldChar w:fldCharType="end"/>
          </w:r>
        </w:p>
        <w:p w14:paraId="75FC755D">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_Toc23042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（一）有关企业</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_Toc23042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77736715">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_Toc2488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（二）有关部门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_Toc2488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432A356C">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_Toc29601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（三）地方党委政府</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_Toc29601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01F5E823">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eastAsia="仿宋_GB2312" w:cstheme="minorBidi"/>
              <w:kern w:val="2"/>
              <w:sz w:val="24"/>
              <w:szCs w:val="24"/>
              <w:lang w:val="en-US" w:eastAsia="zh-CN" w:bidi="ar-SA"/>
            </w:rPr>
            <w:t>　</w:t>
          </w:r>
          <w:r>
            <w:rPr>
              <w:rFonts w:hint="eastAsia" w:ascii="Times New Roman" w:hAnsi="Times New Roman" w:eastAsia="仿宋_GB2312" w:cstheme="minorBidi"/>
              <w:kern w:val="2"/>
              <w:sz w:val="24"/>
              <w:szCs w:val="24"/>
              <w:lang w:val="en-US" w:eastAsia="zh-CN" w:bidi="ar-SA"/>
            </w:rPr>
            <w:fldChar w:fldCharType="begin"/>
          </w:r>
          <w:r>
            <w:rPr>
              <w:rFonts w:hint="eastAsia" w:ascii="Times New Roman" w:hAnsi="Times New Roman" w:eastAsia="仿宋_GB2312" w:cstheme="minorBidi"/>
              <w:kern w:val="2"/>
              <w:sz w:val="24"/>
              <w:szCs w:val="24"/>
              <w:lang w:val="en-US" w:eastAsia="zh-CN" w:bidi="ar-SA"/>
            </w:rPr>
            <w:instrText xml:space="preserve"> HYPERLINK \l _Toc20724 </w:instrText>
          </w:r>
          <w:r>
            <w:rPr>
              <w:rFonts w:hint="eastAsia" w:ascii="Times New Roman" w:hAnsi="Times New Roman" w:eastAsia="仿宋_GB2312" w:cstheme="minorBidi"/>
              <w:kern w:val="2"/>
              <w:sz w:val="24"/>
              <w:szCs w:val="24"/>
              <w:lang w:val="en-US" w:eastAsia="zh-CN" w:bidi="ar-SA"/>
            </w:rPr>
            <w:fldChar w:fldCharType="separate"/>
          </w:r>
          <w:r>
            <w:rPr>
              <w:rFonts w:hint="eastAsia" w:ascii="黑体" w:hAnsi="黑体" w:eastAsia="黑体" w:cs="黑体"/>
              <w:sz w:val="24"/>
              <w:szCs w:val="24"/>
              <w:lang w:val="en-US" w:eastAsia="zh-CN"/>
            </w:rPr>
            <w:t>四</w:t>
          </w:r>
          <w:r>
            <w:rPr>
              <w:rFonts w:hint="eastAsia" w:ascii="黑体" w:hAnsi="黑体" w:eastAsia="黑体" w:cs="黑体"/>
              <w:sz w:val="24"/>
              <w:szCs w:val="24"/>
            </w:rPr>
            <w:t>、对有关责任人员和责任单位的处理建议</w:t>
          </w:r>
          <w:r>
            <w:rPr>
              <w:sz w:val="24"/>
              <w:szCs w:val="24"/>
            </w:rPr>
            <w:tab/>
          </w:r>
          <w:r>
            <w:rPr>
              <w:sz w:val="24"/>
              <w:szCs w:val="24"/>
            </w:rPr>
            <w:fldChar w:fldCharType="begin"/>
          </w:r>
          <w:r>
            <w:rPr>
              <w:sz w:val="24"/>
              <w:szCs w:val="24"/>
            </w:rPr>
            <w:instrText xml:space="preserve"> PAGEREF _Toc20724 \h </w:instrText>
          </w:r>
          <w:r>
            <w:rPr>
              <w:sz w:val="24"/>
              <w:szCs w:val="24"/>
            </w:rPr>
            <w:fldChar w:fldCharType="separate"/>
          </w:r>
          <w:r>
            <w:rPr>
              <w:sz w:val="24"/>
              <w:szCs w:val="24"/>
            </w:rPr>
            <w:t>9</w:t>
          </w:r>
          <w:r>
            <w:rPr>
              <w:sz w:val="24"/>
              <w:szCs w:val="24"/>
            </w:rPr>
            <w:fldChar w:fldCharType="end"/>
          </w:r>
          <w:r>
            <w:rPr>
              <w:rFonts w:hint="eastAsia" w:ascii="Times New Roman" w:hAnsi="Times New Roman" w:eastAsia="仿宋_GB2312" w:cstheme="minorBidi"/>
              <w:kern w:val="2"/>
              <w:sz w:val="24"/>
              <w:szCs w:val="24"/>
              <w:lang w:val="en-US" w:eastAsia="zh-CN" w:bidi="ar-SA"/>
            </w:rPr>
            <w:fldChar w:fldCharType="end"/>
          </w:r>
        </w:p>
        <w:p w14:paraId="0F2929AD">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_Toc5447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eastAsia="zh-CN"/>
            </w:rPr>
            <w:t>（一）对事故有关责任人的处理建议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_Toc5447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4FB04AD5">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_Toc27423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val="en-US" w:eastAsia="zh-CN"/>
            </w:rPr>
            <w:t>（二）对有关涉事企业的处理建议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_Toc27423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5B8D9F0B">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sz w:val="24"/>
              <w:szCs w:val="24"/>
            </w:rPr>
          </w:pPr>
          <w:r>
            <w:rPr>
              <w:rFonts w:hint="eastAsia" w:asciiTheme="majorEastAsia" w:hAnsiTheme="majorEastAsia" w:eastAsiaTheme="majorEastAsia" w:cstheme="majorEastAsia"/>
              <w:kern w:val="2"/>
              <w:sz w:val="24"/>
              <w:szCs w:val="24"/>
              <w:lang w:val="en-US" w:eastAsia="zh-CN" w:bidi="ar-SA"/>
            </w:rPr>
            <w:fldChar w:fldCharType="begin"/>
          </w:r>
          <w:r>
            <w:rPr>
              <w:rFonts w:hint="eastAsia" w:asciiTheme="majorEastAsia" w:hAnsiTheme="majorEastAsia" w:eastAsiaTheme="majorEastAsia" w:cstheme="majorEastAsia"/>
              <w:kern w:val="2"/>
              <w:sz w:val="24"/>
              <w:szCs w:val="24"/>
              <w:lang w:val="en-US" w:eastAsia="zh-CN" w:bidi="ar-SA"/>
            </w:rPr>
            <w:instrText xml:space="preserve"> HYPERLINK \l _Toc6674 </w:instrText>
          </w:r>
          <w:r>
            <w:rPr>
              <w:rFonts w:hint="eastAsia" w:asciiTheme="majorEastAsia" w:hAnsiTheme="majorEastAsia" w:eastAsiaTheme="majorEastAsia" w:cstheme="majorEastAsia"/>
              <w:kern w:val="2"/>
              <w:sz w:val="24"/>
              <w:szCs w:val="24"/>
              <w:lang w:val="en-US" w:eastAsia="zh-CN" w:bidi="ar-SA"/>
            </w:rPr>
            <w:fldChar w:fldCharType="separate"/>
          </w:r>
          <w:r>
            <w:rPr>
              <w:rFonts w:hint="eastAsia" w:asciiTheme="majorEastAsia" w:hAnsiTheme="majorEastAsia" w:eastAsiaTheme="majorEastAsia" w:cstheme="majorEastAsia"/>
              <w:sz w:val="24"/>
              <w:szCs w:val="24"/>
              <w:lang w:eastAsia="zh-CN"/>
            </w:rPr>
            <w:t>（三）相关单位处理建议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_Toc6674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kern w:val="2"/>
              <w:sz w:val="24"/>
              <w:szCs w:val="24"/>
              <w:lang w:val="en-US" w:eastAsia="zh-CN" w:bidi="ar-SA"/>
            </w:rPr>
            <w:fldChar w:fldCharType="end"/>
          </w:r>
        </w:p>
        <w:p w14:paraId="1A434851">
          <w:pPr>
            <w:pStyle w:val="15"/>
            <w:keepNext w:val="0"/>
            <w:keepLines w:val="0"/>
            <w:pageBreakBefore w:val="0"/>
            <w:widowControl/>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　</w:t>
          </w:r>
          <w:r>
            <w:rPr>
              <w:rFonts w:hint="eastAsia" w:ascii="Times New Roman" w:hAnsi="Times New Roman" w:eastAsia="仿宋_GB2312" w:cstheme="minorBidi"/>
              <w:kern w:val="2"/>
              <w:sz w:val="24"/>
              <w:szCs w:val="24"/>
              <w:lang w:val="en-US" w:eastAsia="zh-CN" w:bidi="ar-SA"/>
            </w:rPr>
            <w:fldChar w:fldCharType="begin"/>
          </w:r>
          <w:r>
            <w:rPr>
              <w:rFonts w:hint="eastAsia" w:ascii="Times New Roman" w:hAnsi="Times New Roman" w:eastAsia="仿宋_GB2312" w:cstheme="minorBidi"/>
              <w:kern w:val="2"/>
              <w:sz w:val="24"/>
              <w:szCs w:val="24"/>
              <w:lang w:val="en-US" w:eastAsia="zh-CN" w:bidi="ar-SA"/>
            </w:rPr>
            <w:instrText xml:space="preserve"> HYPERLINK \l _Toc28917 </w:instrText>
          </w:r>
          <w:r>
            <w:rPr>
              <w:rFonts w:hint="eastAsia" w:ascii="Times New Roman" w:hAnsi="Times New Roman" w:eastAsia="仿宋_GB2312" w:cstheme="minorBidi"/>
              <w:kern w:val="2"/>
              <w:sz w:val="24"/>
              <w:szCs w:val="24"/>
              <w:lang w:val="en-US" w:eastAsia="zh-CN" w:bidi="ar-SA"/>
            </w:rPr>
            <w:fldChar w:fldCharType="separate"/>
          </w:r>
          <w:r>
            <w:rPr>
              <w:rFonts w:hint="eastAsia" w:ascii="黑体" w:hAnsi="黑体" w:eastAsia="黑体" w:cs="黑体"/>
              <w:sz w:val="24"/>
              <w:szCs w:val="24"/>
              <w:lang w:val="en-US" w:eastAsia="zh-CN"/>
            </w:rPr>
            <w:t>五</w:t>
          </w:r>
          <w:r>
            <w:rPr>
              <w:rFonts w:hint="eastAsia" w:ascii="黑体" w:hAnsi="黑体" w:eastAsia="黑体" w:cs="黑体"/>
              <w:sz w:val="24"/>
              <w:szCs w:val="24"/>
            </w:rPr>
            <w:t>、事故整改和防范措施</w:t>
          </w:r>
          <w:r>
            <w:rPr>
              <w:sz w:val="24"/>
              <w:szCs w:val="24"/>
            </w:rPr>
            <w:tab/>
          </w:r>
          <w:r>
            <w:rPr>
              <w:sz w:val="24"/>
              <w:szCs w:val="24"/>
            </w:rPr>
            <w:fldChar w:fldCharType="begin"/>
          </w:r>
          <w:r>
            <w:rPr>
              <w:sz w:val="24"/>
              <w:szCs w:val="24"/>
            </w:rPr>
            <w:instrText xml:space="preserve"> PAGEREF _Toc28917 \h </w:instrText>
          </w:r>
          <w:r>
            <w:rPr>
              <w:sz w:val="24"/>
              <w:szCs w:val="24"/>
            </w:rPr>
            <w:fldChar w:fldCharType="separate"/>
          </w:r>
          <w:r>
            <w:rPr>
              <w:sz w:val="24"/>
              <w:szCs w:val="24"/>
            </w:rPr>
            <w:t>10</w:t>
          </w:r>
          <w:r>
            <w:rPr>
              <w:sz w:val="24"/>
              <w:szCs w:val="24"/>
            </w:rPr>
            <w:fldChar w:fldCharType="end"/>
          </w:r>
          <w:r>
            <w:rPr>
              <w:rFonts w:hint="eastAsia" w:ascii="Times New Roman" w:hAnsi="Times New Roman" w:eastAsia="仿宋_GB2312" w:cstheme="minorBidi"/>
              <w:kern w:val="2"/>
              <w:sz w:val="24"/>
              <w:szCs w:val="24"/>
              <w:lang w:val="en-US" w:eastAsia="zh-CN" w:bidi="ar-SA"/>
            </w:rPr>
            <w:fldChar w:fldCharType="end"/>
          </w:r>
        </w:p>
        <w:p w14:paraId="6956B8E2">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ind w:left="640" w:left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（一）树牢安全发展理念，坚守安全红线</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10</w:t>
          </w:r>
        </w:p>
        <w:p w14:paraId="2405E775">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ind w:left="640" w:left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（二）建立健全管理制度，堵塞管理漏洞</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10</w:t>
          </w:r>
        </w:p>
        <w:p w14:paraId="44F37503">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ind w:left="640" w:left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（三）全面开展安全整治，强化隐患排查</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11</w:t>
          </w:r>
        </w:p>
        <w:p w14:paraId="103DEB6D">
          <w:pPr>
            <w:pStyle w:val="16"/>
            <w:keepNext w:val="0"/>
            <w:keepLines w:val="0"/>
            <w:pageBreakBefore w:val="0"/>
            <w:widowControl/>
            <w:tabs>
              <w:tab w:val="right" w:leader="dot" w:pos="8845"/>
            </w:tabs>
            <w:kinsoku/>
            <w:wordWrap/>
            <w:overflowPunct/>
            <w:topLinePunct w:val="0"/>
            <w:autoSpaceDE/>
            <w:autoSpaceDN/>
            <w:bidi w:val="0"/>
            <w:adjustRightInd/>
            <w:snapToGrid/>
            <w:spacing w:line="360" w:lineRule="auto"/>
            <w:ind w:left="640" w:leftChars="200"/>
            <w:textAlignment w:val="auto"/>
            <w:rPr>
              <w:rFonts w:hint="eastAsia" w:asciiTheme="majorEastAsia" w:hAnsiTheme="majorEastAsia" w:eastAsiaTheme="majorEastAsia" w:cstheme="majorEastAsia"/>
              <w:sz w:val="24"/>
              <w:szCs w:val="24"/>
              <w:lang w:val="en-US" w:eastAsia="zh-CN"/>
            </w:rPr>
          </w:pPr>
          <w:r>
            <w:rPr>
              <w:rFonts w:hint="eastAsia" w:ascii="Times New Roman" w:hAnsi="Times New Roman" w:eastAsia="仿宋_GB2312" w:cstheme="minorBidi"/>
              <w:kern w:val="2"/>
              <w:sz w:val="24"/>
              <w:szCs w:val="24"/>
              <w:lang w:val="en-US" w:eastAsia="zh-CN" w:bidi="ar-SA"/>
            </w:rPr>
            <w:fldChar w:fldCharType="end"/>
          </w:r>
        </w:p>
      </w:sdtContent>
    </w:sdt>
    <w:p w14:paraId="16077405">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sectPr>
          <w:footerReference r:id="rId11" w:type="default"/>
          <w:pgSz w:w="11906" w:h="16838"/>
          <w:pgMar w:top="2098" w:right="1474" w:bottom="1984" w:left="1587" w:header="851" w:footer="992" w:gutter="0"/>
          <w:pgNumType w:fmt="decimal" w:start="1"/>
          <w:cols w:space="0" w:num="1"/>
          <w:rtlGutter w:val="0"/>
          <w:docGrid w:type="lines" w:linePitch="312" w:charSpace="0"/>
        </w:sectPr>
      </w:pPr>
    </w:p>
    <w:p w14:paraId="6886799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w:t>
      </w:r>
      <w:r>
        <w:rPr>
          <w:rFonts w:hint="default"/>
          <w:lang w:val="en-US" w:eastAsia="zh-CN"/>
        </w:rPr>
        <w:t>2025</w:t>
      </w:r>
      <w:r>
        <w:rPr>
          <w:rFonts w:hint="default"/>
        </w:rPr>
        <w:t>年</w:t>
      </w:r>
      <w:r>
        <w:rPr>
          <w:rFonts w:hint="default"/>
          <w:lang w:val="en-US" w:eastAsia="zh-CN"/>
        </w:rPr>
        <w:t>2</w:t>
      </w:r>
      <w:r>
        <w:rPr>
          <w:rFonts w:hint="default"/>
        </w:rPr>
        <w:t>月</w:t>
      </w:r>
      <w:r>
        <w:rPr>
          <w:rFonts w:hint="default"/>
          <w:lang w:val="en-US" w:eastAsia="zh-CN"/>
        </w:rPr>
        <w:t>12</w:t>
      </w:r>
      <w:r>
        <w:rPr>
          <w:rFonts w:hint="default"/>
        </w:rPr>
        <w:t>日</w:t>
      </w:r>
      <w:r>
        <w:rPr>
          <w:rFonts w:hint="default"/>
          <w:lang w:val="en-US" w:eastAsia="zh-CN"/>
        </w:rPr>
        <w:t>14</w:t>
      </w:r>
      <w:r>
        <w:rPr>
          <w:rFonts w:hint="default"/>
        </w:rPr>
        <w:t>时</w:t>
      </w:r>
      <w:r>
        <w:rPr>
          <w:rFonts w:hint="default"/>
          <w:lang w:val="en-US" w:eastAsia="zh-CN"/>
        </w:rPr>
        <w:t>30</w:t>
      </w:r>
      <w:r>
        <w:rPr>
          <w:rFonts w:hint="default"/>
        </w:rPr>
        <w:t>分</w:t>
      </w:r>
      <w:r>
        <w:rPr>
          <w:rFonts w:hint="default"/>
          <w:lang w:val="en-US" w:eastAsia="zh-CN"/>
        </w:rPr>
        <w:t>左右</w:t>
      </w:r>
      <w:r>
        <w:rPr>
          <w:rFonts w:hint="eastAsia"/>
        </w:rPr>
        <w:t>，</w:t>
      </w:r>
      <w:r>
        <w:rPr>
          <w:rFonts w:hint="eastAsia"/>
          <w:lang w:val="en-US" w:eastAsia="zh-CN"/>
        </w:rPr>
        <w:t xml:space="preserve">海州区浦南镇汪新村盐店一处由连云港中益合新能源有限公司开发建设的户用分布式光伏项目施工工地发生一起高处坠落事故，造成1人死亡，直接经济损失约86万元。                                                                                            </w:t>
      </w:r>
    </w:p>
    <w:p w14:paraId="215F80A0">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根据《生产安全事故报告和调查处理条例》（国务院令第493号）等有关规定，</w:t>
      </w:r>
      <w:r>
        <w:rPr>
          <w:rFonts w:hint="eastAsia"/>
          <w:lang w:eastAsia="zh-CN"/>
        </w:rPr>
        <w:t>经区政府批准，</w:t>
      </w:r>
      <w:r>
        <w:rPr>
          <w:rFonts w:hint="default"/>
        </w:rPr>
        <w:t>成立了由</w:t>
      </w:r>
      <w:r>
        <w:rPr>
          <w:rFonts w:hint="default"/>
          <w:lang w:val="en-US" w:eastAsia="zh-CN"/>
        </w:rPr>
        <w:t>区应急管理局牵头</w:t>
      </w:r>
      <w:r>
        <w:rPr>
          <w:rFonts w:hint="default"/>
        </w:rPr>
        <w:t>，</w:t>
      </w:r>
      <w:r>
        <w:rPr>
          <w:rFonts w:hint="default"/>
          <w:lang w:val="en-US" w:eastAsia="zh-CN"/>
        </w:rPr>
        <w:t>区</w:t>
      </w:r>
      <w:r>
        <w:rPr>
          <w:rFonts w:hint="eastAsia"/>
          <w:lang w:val="en-US" w:eastAsia="zh-CN"/>
        </w:rPr>
        <w:t>发改局</w:t>
      </w:r>
      <w:r>
        <w:rPr>
          <w:rFonts w:hint="default"/>
          <w:lang w:val="en-US" w:eastAsia="zh-CN"/>
        </w:rPr>
        <w:t>、</w:t>
      </w:r>
      <w:r>
        <w:rPr>
          <w:rFonts w:hint="default"/>
        </w:rPr>
        <w:t>区总工会</w:t>
      </w:r>
      <w:r>
        <w:rPr>
          <w:rFonts w:hint="eastAsia"/>
          <w:lang w:eastAsia="zh-CN"/>
        </w:rPr>
        <w:t>、海州</w:t>
      </w:r>
      <w:r>
        <w:rPr>
          <w:rFonts w:hint="default"/>
        </w:rPr>
        <w:t>公安</w:t>
      </w:r>
      <w:r>
        <w:rPr>
          <w:rFonts w:hint="default"/>
          <w:lang w:val="en-US" w:eastAsia="zh-CN"/>
        </w:rPr>
        <w:t>分</w:t>
      </w:r>
      <w:r>
        <w:rPr>
          <w:rFonts w:hint="default"/>
        </w:rPr>
        <w:t>局</w:t>
      </w:r>
      <w:r>
        <w:rPr>
          <w:rFonts w:hint="eastAsia"/>
          <w:lang w:val="en-US" w:eastAsia="zh-CN"/>
        </w:rPr>
        <w:t>参加的</w:t>
      </w:r>
      <w:r>
        <w:rPr>
          <w:rFonts w:hint="eastAsia"/>
          <w:lang w:eastAsia="zh-CN"/>
        </w:rPr>
        <w:t>海州浦南中益合新能源有限公司“2</w:t>
      </w:r>
      <w:r>
        <w:rPr>
          <w:rFonts w:hint="default"/>
          <w:lang w:eastAsia="zh-CN"/>
        </w:rPr>
        <w:t>·</w:t>
      </w:r>
      <w:r>
        <w:rPr>
          <w:rFonts w:hint="eastAsia"/>
          <w:lang w:eastAsia="zh-CN"/>
        </w:rPr>
        <w:t>12”一般高处坠落事故</w:t>
      </w:r>
      <w:r>
        <w:rPr>
          <w:rFonts w:hint="eastAsia"/>
          <w:lang w:val="en-US" w:eastAsia="zh-CN"/>
        </w:rPr>
        <w:t>调查组</w:t>
      </w:r>
      <w:r>
        <w:rPr>
          <w:rFonts w:hint="default"/>
        </w:rPr>
        <w:t>（以下简称“事故调查组”）</w:t>
      </w:r>
      <w:r>
        <w:rPr>
          <w:rFonts w:hint="eastAsia"/>
          <w:lang w:eastAsia="zh-CN"/>
        </w:rPr>
        <w:t>，</w:t>
      </w:r>
      <w:r>
        <w:rPr>
          <w:rFonts w:hint="eastAsia"/>
          <w:lang w:val="en-US" w:eastAsia="zh-CN"/>
        </w:rPr>
        <w:t>并邀请区纪委监委、区检察院派员参加相关工作</w:t>
      </w:r>
      <w:r>
        <w:rPr>
          <w:rFonts w:hint="default"/>
        </w:rPr>
        <w:t>。</w:t>
      </w:r>
    </w:p>
    <w:p w14:paraId="72F818BE">
      <w:pPr>
        <w:keepNext w:val="0"/>
        <w:keepLines w:val="0"/>
        <w:pageBreakBefore w:val="0"/>
        <w:widowControl w:val="0"/>
        <w:kinsoku/>
        <w:wordWrap/>
        <w:overflowPunct/>
        <w:topLinePunct w:val="0"/>
        <w:autoSpaceDE/>
        <w:autoSpaceDN/>
        <w:bidi w:val="0"/>
        <w:adjustRightInd/>
        <w:snapToGrid/>
        <w:textAlignment w:val="auto"/>
        <w:rPr>
          <w:rFonts w:hint="default"/>
          <w:lang w:eastAsia="zh-CN"/>
        </w:rPr>
      </w:pPr>
      <w:r>
        <w:rPr>
          <w:rFonts w:hint="default"/>
        </w:rPr>
        <w:t>事故调查组坚持“四不放过”及“科学严谨、依法依规、实事求是、注重实效”的原则，通过查阅</w:t>
      </w:r>
      <w:r>
        <w:rPr>
          <w:rFonts w:hint="eastAsia"/>
          <w:lang w:eastAsia="zh-CN"/>
        </w:rPr>
        <w:t>资料</w:t>
      </w:r>
      <w:r>
        <w:rPr>
          <w:rFonts w:hint="default"/>
        </w:rPr>
        <w:t>、现场勘察、</w:t>
      </w:r>
      <w:r>
        <w:rPr>
          <w:rFonts w:hint="eastAsia"/>
          <w:lang w:eastAsia="zh-CN"/>
        </w:rPr>
        <w:t>询问谈话</w:t>
      </w:r>
      <w:r>
        <w:rPr>
          <w:rFonts w:hint="default"/>
          <w:lang w:val="en-US" w:eastAsia="zh-CN"/>
        </w:rPr>
        <w:t>和</w:t>
      </w:r>
      <w:r>
        <w:rPr>
          <w:rFonts w:hint="default"/>
        </w:rPr>
        <w:t>综合分析等方式进行深入细致的调查，查明了事故经过、人员伤亡和直接经济损失情况，查清了事故原因，认定了事故性质、事故单位和相关人员责任，</w:t>
      </w:r>
      <w:r>
        <w:rPr>
          <w:rFonts w:hint="default"/>
          <w:lang w:val="en-US" w:eastAsia="zh-CN"/>
        </w:rPr>
        <w:t>查明了有关地方党委政府和相关部门存在的问题，</w:t>
      </w:r>
      <w:r>
        <w:rPr>
          <w:rFonts w:hint="default"/>
        </w:rPr>
        <w:t>并针对事故原因及暴露的突出问题，提出了事故主要教训和防范整改措施建议</w:t>
      </w:r>
      <w:r>
        <w:rPr>
          <w:rFonts w:hint="default"/>
          <w:lang w:eastAsia="zh-CN"/>
        </w:rPr>
        <w:t>。</w:t>
      </w:r>
    </w:p>
    <w:p w14:paraId="0E0FF8C9">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lang w:eastAsia="zh-CN"/>
        </w:rPr>
      </w:pPr>
      <w:r>
        <w:rPr>
          <w:rFonts w:hint="default"/>
        </w:rPr>
        <w:t>调查认定</w:t>
      </w:r>
      <w:r>
        <w:rPr>
          <w:rFonts w:hint="eastAsia"/>
          <w:lang w:eastAsia="zh-CN"/>
        </w:rPr>
        <w:t>：</w:t>
      </w:r>
      <w:r>
        <w:rPr>
          <w:rFonts w:hint="eastAsia" w:ascii="黑体" w:hAnsi="黑体" w:eastAsia="黑体" w:cs="黑体"/>
          <w:lang w:eastAsia="zh-CN"/>
        </w:rPr>
        <w:t>海州浦南中益合新能源有限公司“</w:t>
      </w:r>
      <w:r>
        <w:rPr>
          <w:rFonts w:hint="default" w:ascii="Times New Roman" w:hAnsi="Times New Roman" w:eastAsia="黑体" w:cs="Times New Roman"/>
          <w:lang w:eastAsia="zh-CN"/>
        </w:rPr>
        <w:t>2·12</w:t>
      </w:r>
      <w:r>
        <w:rPr>
          <w:rFonts w:hint="eastAsia" w:ascii="黑体" w:hAnsi="黑体" w:eastAsia="黑体" w:cs="黑体"/>
          <w:lang w:eastAsia="zh-CN"/>
        </w:rPr>
        <w:t>”一般高处坠落事故是一起因开发建设单位主体责任缺失，施工单位不具备安全生产条件，政府</w:t>
      </w:r>
      <w:r>
        <w:rPr>
          <w:rFonts w:hint="eastAsia" w:ascii="黑体" w:hAnsi="黑体" w:eastAsia="黑体" w:cs="黑体"/>
          <w:lang w:val="en-US" w:eastAsia="zh-CN"/>
        </w:rPr>
        <w:t>有关部门专业监管和行业管理失职缺位</w:t>
      </w:r>
      <w:r>
        <w:rPr>
          <w:rFonts w:hint="eastAsia" w:ascii="黑体" w:hAnsi="黑体" w:eastAsia="黑体" w:cs="黑体"/>
          <w:lang w:eastAsia="zh-CN"/>
        </w:rPr>
        <w:t>导致的生产安全责任事故。</w:t>
      </w:r>
    </w:p>
    <w:p w14:paraId="40EA6DA3">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cs="黑体"/>
          <w:lang w:val="en-US" w:eastAsia="zh-CN"/>
        </w:rPr>
      </w:pPr>
      <w:bookmarkStart w:id="5" w:name="_Toc17805"/>
      <w:r>
        <w:rPr>
          <w:rFonts w:hint="eastAsia" w:ascii="黑体" w:hAnsi="黑体" w:eastAsia="黑体" w:cs="黑体"/>
          <w:lang w:val="en-US" w:eastAsia="zh-CN"/>
        </w:rPr>
        <w:t>一、事故基本情况</w:t>
      </w:r>
      <w:bookmarkEnd w:id="5"/>
    </w:p>
    <w:p w14:paraId="62311E0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eastAsia"/>
          <w:lang w:val="en-US" w:eastAsia="zh-CN"/>
        </w:rPr>
      </w:pPr>
      <w:r>
        <w:rPr>
          <w:rFonts w:hint="eastAsia"/>
          <w:lang w:val="en-US" w:eastAsia="zh-CN"/>
        </w:rPr>
        <w:t>　　</w:t>
      </w:r>
      <w:bookmarkStart w:id="6" w:name="_Toc22319"/>
      <w:r>
        <w:rPr>
          <w:rFonts w:hint="eastAsia" w:ascii="楷体_GB2312" w:hAnsi="楷体_GB2312" w:eastAsia="楷体_GB2312" w:cs="楷体_GB2312"/>
          <w:lang w:val="en-US" w:eastAsia="zh-CN"/>
        </w:rPr>
        <w:t>（一）相关单位情况</w:t>
      </w:r>
      <w:bookmarkEnd w:id="6"/>
    </w:p>
    <w:p w14:paraId="75E40C0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1.开发建设单位：</w:t>
      </w:r>
      <w:r>
        <w:rPr>
          <w:rFonts w:hint="eastAsia"/>
          <w:lang w:val="en-US" w:eastAsia="zh-CN"/>
        </w:rPr>
        <w:t>连云港中益合新能源有限公司（以下简称中益合公司）成立于2023年10月11日，法定代表人李某某，实际控制人陈某某，注册资本50万元整，统一社会信用代码：91320722MACYFC0Q74，住所位于江苏省连云港市灌南县田楼镇合浦村中小企业园综合楼5-150。经营范围包括：许可项目：电气安装服务。一般项目：太阳能发电技术服务；太阳能热利用产品销售；太阳能热发电产品销售；太阳能热利用装备销售；太阳能热发电装备销售；光伏设备及元器件销售；光伏发电设备租赁等。</w:t>
      </w:r>
    </w:p>
    <w:p w14:paraId="3D920721">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b/>
          <w:bCs/>
          <w:lang w:val="en-US" w:eastAsia="zh-CN"/>
        </w:rPr>
        <w:t>2.施工单位：</w:t>
      </w:r>
      <w:r>
        <w:rPr>
          <w:rFonts w:hint="eastAsia"/>
          <w:lang w:val="en-US" w:eastAsia="zh-CN"/>
        </w:rPr>
        <w:t>东海县善发鑫光伏安装经营部（以下简称善发鑫经营部），注册日期：2024年12月12日，类型：个体工商户，经营者：韩某某，经营场所：连云港市东海县石榴街道万尚大道1号万尚会国际家居生活广场B6-131，统一社会信用代码：</w:t>
      </w:r>
      <w:r>
        <w:rPr>
          <w:rFonts w:hint="default"/>
          <w:lang w:val="en-US" w:eastAsia="zh-CN"/>
        </w:rPr>
        <w:t>92320722</w:t>
      </w:r>
      <w:r>
        <w:rPr>
          <w:rFonts w:hint="eastAsia"/>
          <w:lang w:val="en-US" w:eastAsia="zh-CN"/>
        </w:rPr>
        <w:t>MAE</w:t>
      </w:r>
      <w:r>
        <w:rPr>
          <w:rFonts w:hint="default"/>
          <w:lang w:val="en-US" w:eastAsia="zh-CN"/>
        </w:rPr>
        <w:t>7</w:t>
      </w:r>
      <w:r>
        <w:rPr>
          <w:rFonts w:hint="eastAsia"/>
          <w:lang w:val="en-US" w:eastAsia="zh-CN"/>
        </w:rPr>
        <w:t>L</w:t>
      </w:r>
      <w:r>
        <w:rPr>
          <w:rFonts w:hint="default"/>
          <w:lang w:val="en-US" w:eastAsia="zh-CN"/>
        </w:rPr>
        <w:t>93</w:t>
      </w:r>
      <w:r>
        <w:rPr>
          <w:rFonts w:hint="eastAsia"/>
          <w:lang w:val="en-US" w:eastAsia="zh-CN"/>
        </w:rPr>
        <w:t>QX</w:t>
      </w:r>
      <w:r>
        <w:rPr>
          <w:rFonts w:hint="default"/>
          <w:lang w:val="en-US" w:eastAsia="zh-CN"/>
        </w:rPr>
        <w:t>8</w:t>
      </w:r>
      <w:r>
        <w:rPr>
          <w:rFonts w:hint="eastAsia"/>
          <w:lang w:val="en-US" w:eastAsia="zh-CN"/>
        </w:rPr>
        <w:t>，经营范围：一般项目：光伏发电设备租赁；光伏设备及元器件销售；太阳能发电技术服务；光电子器件销售；技术推广服务；半导体器件专用设备销售；科技推广和应用服务；配电开关控制设备销售；家用电器安装服务；家具安装和维修服务；工程管理服务；普通机械设备安装服务；室内木门窗安装服务；住宅水电安装维护服务；园林绿化工程施工；专业设计服务。该单位未取得工程建设任何资质</w:t>
      </w:r>
      <w:r>
        <w:rPr>
          <w:rStyle w:val="14"/>
          <w:rFonts w:hint="eastAsia" w:cs="Times New Roman"/>
          <w:sz w:val="32"/>
          <w:szCs w:val="32"/>
          <w:lang w:val="en-US" w:eastAsia="zh-CN"/>
        </w:rPr>
        <w:t>[</w:t>
      </w:r>
      <w:r>
        <w:rPr>
          <w:rStyle w:val="14"/>
          <w:rFonts w:hint="eastAsia" w:cs="Times New Roman"/>
          <w:sz w:val="32"/>
          <w:szCs w:val="32"/>
          <w:lang w:val="en-US" w:eastAsia="zh-CN"/>
        </w:rPr>
        <w:footnoteReference w:id="0"/>
      </w:r>
      <w:r>
        <w:rPr>
          <w:rStyle w:val="14"/>
          <w:rFonts w:hint="eastAsia" w:cs="Times New Roman"/>
          <w:sz w:val="32"/>
          <w:szCs w:val="32"/>
          <w:lang w:val="en-US" w:eastAsia="zh-CN"/>
        </w:rPr>
        <w:t>]</w:t>
      </w:r>
      <w:r>
        <w:rPr>
          <w:rFonts w:hint="eastAsia"/>
          <w:lang w:val="en-US" w:eastAsia="zh-CN"/>
        </w:rPr>
        <w:t>。</w:t>
      </w:r>
    </w:p>
    <w:p w14:paraId="25193B99">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_GB2312" w:hAnsi="楷体_GB2312" w:eastAsia="楷体_GB2312" w:cs="楷体_GB2312"/>
          <w:lang w:val="en-US" w:eastAsia="zh-CN"/>
        </w:rPr>
      </w:pPr>
      <w:bookmarkStart w:id="7" w:name="_Toc1704"/>
      <w:r>
        <w:rPr>
          <w:rFonts w:hint="eastAsia" w:ascii="楷体_GB2312" w:hAnsi="楷体_GB2312" w:eastAsia="楷体_GB2312" w:cs="楷体_GB2312"/>
          <w:lang w:val="en-US" w:eastAsia="zh-CN"/>
        </w:rPr>
        <w:t>（二）户用光伏项目概况</w:t>
      </w:r>
      <w:bookmarkEnd w:id="7"/>
    </w:p>
    <w:p w14:paraId="4429B12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户用光伏项目位于海州区浦南镇汪新村2-8号（屋面上），建设面积约160平方米。该光伏项目消纳方式为全额上网，设计装机容量56ＫＷ，并网电压等级380（220）Ｖ，并网点1个。该项目开发建设单位为中益合公司。2024年12月9日，中益合公司与善发鑫经营部签订光伏施工合同，由善发鑫经营部完成光伏项目安装施工，合同明确工程内容为：方钢焊接、安装光伏组件，逆变器、电箱（包含自购电箱、线鼻子）、水槽、线缆等安装。该项目于2025年2月11日正式施工。</w:t>
      </w:r>
    </w:p>
    <w:p w14:paraId="183034DA">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_GB2312" w:hAnsi="楷体_GB2312" w:eastAsia="楷体_GB2312" w:cs="楷体_GB2312"/>
          <w:lang w:val="en-US" w:eastAsia="zh-CN"/>
        </w:rPr>
      </w:pPr>
      <w:bookmarkStart w:id="8" w:name="_Toc25231"/>
      <w:r>
        <w:rPr>
          <w:rFonts w:hint="eastAsia" w:ascii="楷体_GB2312" w:hAnsi="楷体_GB2312" w:eastAsia="楷体_GB2312" w:cs="楷体_GB2312"/>
          <w:lang w:val="en-US" w:eastAsia="zh-CN"/>
        </w:rPr>
        <w:t>（三）户用光伏项目申报备案情况</w:t>
      </w:r>
      <w:bookmarkEnd w:id="8"/>
    </w:p>
    <w:p w14:paraId="0BA05C8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　　2024年12月，户主陈某委托中益合公司安装建设，并全权办理申报备案手续。按照《浦南镇关于规范分布式光伏发电项目建设的指导意见（试行）》有关申报要求，于2024年12月30日通过浦南镇汪新村民委员会审查。2024年12月31日，连云港市发展和改革委员会等6部门印发《关于规范分布式光伏发电项目建设管理工作的通知》（连发改电力发〔2024〕368号），明确自然人项目申报备案由电网企业集中办理，乡镇级人民政府提供住宅权属证明。2025年1月13日，浦南镇政府召开领导班子会议决定废除《浦南镇关于规范分布式光伏发电项目建设的指导意见（试行）》，并停止办理分布式光伏申报手续。2025年1月22日，中益合公司按新政策要求向国网连云港供电公司（以下简称国网公司）提出申请备案。国网公司受理后于1月24日向中益合公司反馈了接入意见答复单。</w:t>
      </w:r>
    </w:p>
    <w:p w14:paraId="2C0D4BB1">
      <w:pPr>
        <w:keepNext w:val="0"/>
        <w:keepLines w:val="0"/>
        <w:pageBreakBefore w:val="0"/>
        <w:widowControl w:val="0"/>
        <w:kinsoku/>
        <w:wordWrap/>
        <w:overflowPunct/>
        <w:topLinePunct w:val="0"/>
        <w:autoSpaceDE/>
        <w:autoSpaceDN/>
        <w:bidi w:val="0"/>
        <w:adjustRightInd/>
        <w:snapToGrid/>
        <w:textAlignment w:val="auto"/>
        <w:outlineLvl w:val="1"/>
        <w:rPr>
          <w:rFonts w:hint="eastAsia"/>
          <w:lang w:val="en-US" w:eastAsia="zh-CN"/>
        </w:rPr>
      </w:pPr>
      <w:bookmarkStart w:id="9" w:name="_Toc2450"/>
      <w:r>
        <w:rPr>
          <w:rFonts w:hint="eastAsia" w:ascii="楷体_GB2312" w:hAnsi="楷体_GB2312" w:eastAsia="楷体_GB2312" w:cs="楷体_GB2312"/>
          <w:lang w:val="en-US" w:eastAsia="zh-CN"/>
        </w:rPr>
        <w:t>（四）现场勘察情况</w:t>
      </w:r>
      <w:bookmarkEnd w:id="9"/>
    </w:p>
    <w:p w14:paraId="0B234B5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事故现场位于浦南镇汪新村盐店2-8号居民院内，院内楼房共两层，坡形屋面，坡度约24.4度，屋面盖有釉面陶瓷波形瓦，坡形屋面与二楼平层形成人字形阁楼，整个楼房高度约8.5米。南屋面西侧有一施工孔洞，沿孔洞向南一线多处波形瓦缺失、破损、滑落。在楼房正面右侧一楼地面上有一根长约3.8米镀锌方形钢管，该处为涉事人员坠地位置。</w:t>
      </w:r>
    </w:p>
    <w:p w14:paraId="4D22EFBF">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-59055</wp:posOffset>
            </wp:positionH>
            <wp:positionV relativeFrom="paragraph">
              <wp:posOffset>17780</wp:posOffset>
            </wp:positionV>
            <wp:extent cx="5742940" cy="5005705"/>
            <wp:effectExtent l="0" t="0" r="10160" b="4445"/>
            <wp:wrapNone/>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4"/>
                    <a:stretch>
                      <a:fillRect/>
                    </a:stretch>
                  </pic:blipFill>
                  <pic:spPr>
                    <a:xfrm>
                      <a:off x="0" y="0"/>
                      <a:ext cx="5742940" cy="5005705"/>
                    </a:xfrm>
                    <a:prstGeom prst="rect">
                      <a:avLst/>
                    </a:prstGeom>
                  </pic:spPr>
                </pic:pic>
              </a:graphicData>
            </a:graphic>
          </wp:anchor>
        </w:drawing>
      </w:r>
    </w:p>
    <w:p w14:paraId="17609C65">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4FFF327">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p>
    <w:p w14:paraId="2F4F244C">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56F5E43">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7DAEE1D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423EB528">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27959C5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48D06CD1">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344691DE">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　　　</w:t>
      </w:r>
    </w:p>
    <w:p w14:paraId="0D6AD3F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4FD31796">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0E2FA961">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778EBCFF">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3CBCD82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lang w:val="en-US" w:eastAsia="zh-CN"/>
        </w:rPr>
      </w:pPr>
      <w:r>
        <w:rPr>
          <w:rFonts w:hint="eastAsia" w:asciiTheme="majorEastAsia" w:hAnsiTheme="majorEastAsia" w:eastAsiaTheme="majorEastAsia" w:cstheme="majorEastAsia"/>
          <w:sz w:val="28"/>
          <w:szCs w:val="28"/>
          <w:lang w:val="en-US" w:eastAsia="zh-CN"/>
        </w:rPr>
        <w:t>图1　居民楼房（坡形屋面）及高坠落地点</w:t>
      </w:r>
    </w:p>
    <w:p w14:paraId="091D33CC">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-88900</wp:posOffset>
            </wp:positionH>
            <wp:positionV relativeFrom="paragraph">
              <wp:posOffset>102870</wp:posOffset>
            </wp:positionV>
            <wp:extent cx="5255260" cy="2439035"/>
            <wp:effectExtent l="0" t="0" r="2540" b="18415"/>
            <wp:wrapNone/>
            <wp:docPr id="5" name="图片 5" descr="无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标题4"/>
                    <pic:cNvPicPr>
                      <a:picLocks noChangeAspect="1"/>
                    </pic:cNvPicPr>
                  </pic:nvPicPr>
                  <pic:blipFill>
                    <a:blip r:embed="rId15"/>
                    <a:stretch>
                      <a:fillRect/>
                    </a:stretch>
                  </pic:blipFill>
                  <pic:spPr>
                    <a:xfrm>
                      <a:off x="0" y="0"/>
                      <a:ext cx="5255260" cy="2439035"/>
                    </a:xfrm>
                    <a:prstGeom prst="rect">
                      <a:avLst/>
                    </a:prstGeom>
                  </pic:spPr>
                </pic:pic>
              </a:graphicData>
            </a:graphic>
          </wp:anchor>
        </w:drawing>
      </w:r>
    </w:p>
    <w:p w14:paraId="2B4073F5">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A62E441">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C6B5FC1">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F63C25B">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74D2A0ED">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24892D55">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4378211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图2　施工孔洞及滑落的瓦片</w:t>
      </w:r>
    </w:p>
    <w:p w14:paraId="72D4349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eastAsia" w:ascii="楷体_GB2312" w:hAnsi="楷体_GB2312" w:eastAsia="楷体_GB2312" w:cs="楷体_GB2312"/>
          <w:lang w:val="en-US" w:eastAsia="zh-CN"/>
        </w:rPr>
      </w:pPr>
      <w:r>
        <w:rPr>
          <w:rFonts w:hint="eastAsia"/>
          <w:lang w:val="en-US" w:eastAsia="zh-CN"/>
        </w:rPr>
        <w:t>　　</w:t>
      </w:r>
      <w:bookmarkStart w:id="10" w:name="_Toc14161"/>
      <w:r>
        <w:rPr>
          <w:rFonts w:hint="eastAsia" w:ascii="楷体_GB2312" w:hAnsi="楷体_GB2312" w:eastAsia="楷体_GB2312" w:cs="楷体_GB2312"/>
          <w:lang w:val="en-US" w:eastAsia="zh-CN"/>
        </w:rPr>
        <w:t>（五）事故发生经过及应急处置情况</w:t>
      </w:r>
      <w:bookmarkEnd w:id="10"/>
    </w:p>
    <w:p w14:paraId="195C6BBC">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2025年2月12日中午12时，韩某某</w:t>
      </w:r>
      <w:r>
        <w:rPr>
          <w:rFonts w:hint="eastAsia"/>
          <w:highlight w:val="none"/>
          <w:lang w:val="en-US" w:eastAsia="zh-CN"/>
        </w:rPr>
        <w:t>雇用</w:t>
      </w:r>
      <w:r>
        <w:rPr>
          <w:rFonts w:hint="eastAsia"/>
          <w:lang w:val="en-US" w:eastAsia="zh-CN"/>
        </w:rPr>
        <w:t>韩某军、韩某、董某某、王某某等4位民工（韩某某未与4人签订劳动合同缴纳保险费）进行屋面光伏支架架设施工，韩某和韩某军负责安装支架立管，韩某某负责支架立管校正，董某某和王某某负责立管焊接。事发前，董某某和王某某在屋面北侧焊接立管，韩某某在屋面南侧东边矫正立管，韩某与韩某军配合，韩某在阁楼内接韩某军从屋面孔洞穿下来的立管。14时30分左右，韩某某听到楼下传来“砰”一声，立刻从屋面下到二楼平台查看，发现韩某军跌落在一楼地面上，遂喊其他工人一同下楼查看，只见韩某军坐在地上，额头有伤，韩某某便扶着其肩膀，此时韩某军还能讲话。韩某某叫韩某立即拨打了120急救电话，120回复约半小时左右到达。为尽快让伤者得到救治，经与120协商，由韩某驾车载伤者与120救护车相向而行，会合后再由120救护车送连云港市第二人民医院（西院区）抢救。大概16时许，医院宣布韩某军（身份证号：320721********0817）抢救无效死亡。</w:t>
      </w:r>
    </w:p>
    <w:p w14:paraId="67CF13FF">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接到事故报告后，浦南镇人民政府、派出所，区应急管理局相关领导和工作人员立即赶赴现场，核实有关情况，善后处理工作平稳有序，中益合公司、善发鑫经营部与死者家属达成赔偿协议。</w:t>
      </w:r>
    </w:p>
    <w:p w14:paraId="6595EAF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　　</w:t>
      </w:r>
      <w:r>
        <w:rPr>
          <w:rFonts w:hint="eastAsia" w:ascii="黑体" w:hAnsi="黑体" w:eastAsia="黑体" w:cs="黑体"/>
          <w:lang w:val="en-US" w:eastAsia="zh-CN"/>
        </w:rPr>
        <w:t>二、事故原因分析</w:t>
      </w:r>
      <w:r>
        <w:rPr>
          <w:rFonts w:hint="eastAsia"/>
          <w:lang w:val="en-US" w:eastAsia="zh-CN"/>
        </w:rPr>
        <w:t xml:space="preserve">                                                                                                                      </w:t>
      </w:r>
    </w:p>
    <w:p w14:paraId="4608130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　　经调查认定，事故的直接原因是：韩某军缺乏安全意识，在未采取任何安全防护措施的情况下，在光滑的坡形屋面上作业，由于身体失衡，导致跌落伤亡。</w:t>
      </w:r>
    </w:p>
    <w:p w14:paraId="0E8458F0">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楷体_GB2312" w:hAnsi="楷体_GB2312" w:eastAsia="楷体_GB2312" w:cs="楷体_GB2312"/>
          <w:lang w:val="en-US" w:eastAsia="zh-CN"/>
        </w:rPr>
        <w:t>（一）缺乏安全意识。</w:t>
      </w:r>
      <w:r>
        <w:rPr>
          <w:rFonts w:hint="eastAsia"/>
          <w:lang w:val="en-US" w:eastAsia="zh-CN"/>
        </w:rPr>
        <w:t>韩某军未经过专业培训，未取得高处作业证</w:t>
      </w:r>
      <w:r>
        <w:rPr>
          <w:rStyle w:val="14"/>
          <w:rFonts w:hint="eastAsia" w:cs="Times New Roman"/>
          <w:sz w:val="32"/>
          <w:szCs w:val="32"/>
          <w:lang w:val="en-US" w:eastAsia="zh-CN"/>
        </w:rPr>
        <w:t>[</w:t>
      </w:r>
      <w:r>
        <w:rPr>
          <w:rStyle w:val="14"/>
          <w:rFonts w:hint="eastAsia" w:cs="Times New Roman"/>
          <w:sz w:val="32"/>
          <w:szCs w:val="32"/>
          <w:lang w:val="en-US" w:eastAsia="zh-CN"/>
        </w:rPr>
        <w:footnoteReference w:id="1"/>
      </w:r>
      <w:r>
        <w:rPr>
          <w:rStyle w:val="14"/>
          <w:rFonts w:hint="eastAsia" w:cs="Times New Roman"/>
          <w:sz w:val="32"/>
          <w:szCs w:val="32"/>
          <w:lang w:val="en-US" w:eastAsia="zh-CN"/>
        </w:rPr>
        <w:t>]</w:t>
      </w:r>
      <w:r>
        <w:rPr>
          <w:rFonts w:hint="eastAsia"/>
          <w:lang w:val="en-US" w:eastAsia="zh-CN"/>
        </w:rPr>
        <w:t>，未参加安全教育培训，安全意识淡泊。</w:t>
      </w:r>
    </w:p>
    <w:p w14:paraId="0F94953C">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楷体_GB2312" w:hAnsi="楷体_GB2312" w:eastAsia="楷体_GB2312" w:cs="楷体_GB2312"/>
          <w:lang w:val="en-US" w:eastAsia="zh-CN"/>
        </w:rPr>
        <w:t>（二）作业面光滑。</w:t>
      </w:r>
      <w:r>
        <w:rPr>
          <w:rFonts w:hint="eastAsia"/>
          <w:lang w:val="en-US" w:eastAsia="zh-CN"/>
        </w:rPr>
        <w:t xml:space="preserve">作业面为坡形层面，且盖有光滑的釉面波形瓦，极易出现滑倒情况。 </w:t>
      </w:r>
    </w:p>
    <w:p w14:paraId="0C0EA5D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楷体_GB2312" w:hAnsi="楷体_GB2312" w:eastAsia="楷体_GB2312" w:cs="楷体_GB2312"/>
          <w:lang w:val="en-US" w:eastAsia="zh-CN"/>
        </w:rPr>
        <w:t>（三）缺乏安全防护。</w:t>
      </w:r>
      <w:r>
        <w:rPr>
          <w:rFonts w:hint="eastAsia"/>
          <w:lang w:val="en-US" w:eastAsia="zh-CN"/>
        </w:rPr>
        <w:t>在距地面高度约8.5米的坡形屋面上临边进行立管安装作业，未佩戴安全绳、安全帽等劳动防护用品，施工作业面临边也未设置安全防护栏或防护网。</w:t>
      </w:r>
    </w:p>
    <w:p w14:paraId="10969414">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default"/>
        </w:rPr>
      </w:pPr>
      <w:bookmarkStart w:id="11" w:name="_Toc256000017"/>
      <w:r>
        <w:rPr>
          <w:rFonts w:hint="eastAsia"/>
          <w:lang w:val="en-US" w:eastAsia="zh-CN"/>
        </w:rPr>
        <w:t>　　</w:t>
      </w:r>
      <w:bookmarkStart w:id="12" w:name="_Toc3309"/>
      <w:r>
        <w:rPr>
          <w:rFonts w:hint="eastAsia" w:ascii="黑体" w:hAnsi="黑体" w:eastAsia="黑体" w:cs="黑体"/>
          <w:lang w:val="en-US" w:eastAsia="zh-CN"/>
        </w:rPr>
        <w:t>三</w:t>
      </w:r>
      <w:r>
        <w:rPr>
          <w:rFonts w:hint="eastAsia" w:ascii="黑体" w:hAnsi="黑体" w:eastAsia="黑体" w:cs="黑体"/>
        </w:rPr>
        <w:t>、</w:t>
      </w:r>
      <w:r>
        <w:rPr>
          <w:rFonts w:hint="eastAsia" w:ascii="黑体" w:hAnsi="黑体" w:eastAsia="黑体" w:cs="黑体"/>
          <w:lang w:eastAsia="zh-CN"/>
        </w:rPr>
        <w:t>事故暴露出的</w:t>
      </w:r>
      <w:r>
        <w:rPr>
          <w:rFonts w:hint="eastAsia" w:ascii="黑体" w:hAnsi="黑体" w:eastAsia="黑体" w:cs="黑体"/>
        </w:rPr>
        <w:t>主要问题</w:t>
      </w:r>
      <w:bookmarkEnd w:id="11"/>
      <w:bookmarkEnd w:id="12"/>
    </w:p>
    <w:p w14:paraId="2260E98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_GB2312" w:hAnsi="楷体_GB2312" w:eastAsia="楷体_GB2312" w:cs="楷体_GB2312"/>
          <w:lang w:val="en-US" w:eastAsia="zh-CN"/>
        </w:rPr>
      </w:pPr>
      <w:bookmarkStart w:id="13" w:name="_Toc23042"/>
      <w:r>
        <w:rPr>
          <w:rFonts w:hint="eastAsia" w:ascii="楷体_GB2312" w:hAnsi="楷体_GB2312" w:eastAsia="楷体_GB2312" w:cs="楷体_GB2312"/>
          <w:lang w:val="en-US" w:eastAsia="zh-CN"/>
        </w:rPr>
        <w:t>（一）有关企业</w:t>
      </w:r>
      <w:bookmarkEnd w:id="13"/>
    </w:p>
    <w:p w14:paraId="1473F01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1.中益合公司：</w:t>
      </w:r>
      <w:r>
        <w:rPr>
          <w:rFonts w:hint="eastAsia"/>
          <w:lang w:val="en-US" w:eastAsia="zh-CN"/>
        </w:rPr>
        <w:t>安全生产主体责任不落实。未建立安全生产规章制度，未配备专职或者兼职的安全生产管理人员</w:t>
      </w:r>
      <w:r>
        <w:rPr>
          <w:rStyle w:val="14"/>
          <w:rFonts w:hint="eastAsia"/>
          <w:sz w:val="32"/>
          <w:szCs w:val="32"/>
          <w:lang w:val="en-US" w:eastAsia="zh-CN"/>
        </w:rPr>
        <w:t>[</w:t>
      </w:r>
      <w:r>
        <w:rPr>
          <w:rStyle w:val="14"/>
          <w:rFonts w:hint="eastAsia"/>
          <w:sz w:val="32"/>
          <w:szCs w:val="32"/>
          <w:lang w:val="en-US" w:eastAsia="zh-CN"/>
        </w:rPr>
        <w:footnoteReference w:id="2"/>
      </w:r>
      <w:r>
        <w:rPr>
          <w:rStyle w:val="14"/>
          <w:rFonts w:hint="eastAsia"/>
          <w:sz w:val="32"/>
          <w:szCs w:val="32"/>
          <w:lang w:val="en-US" w:eastAsia="zh-CN"/>
        </w:rPr>
        <w:t>]</w:t>
      </w:r>
      <w:r>
        <w:rPr>
          <w:rFonts w:hint="eastAsia"/>
          <w:sz w:val="32"/>
          <w:szCs w:val="32"/>
          <w:lang w:val="en-US" w:eastAsia="zh-CN"/>
        </w:rPr>
        <w:t>，</w:t>
      </w:r>
      <w:r>
        <w:rPr>
          <w:rFonts w:hint="eastAsia"/>
          <w:lang w:val="en-US" w:eastAsia="zh-CN"/>
        </w:rPr>
        <w:t>安全生产教育和培训流于形式，未建立安全生产教育和培训档</w:t>
      </w:r>
      <w:r>
        <w:rPr>
          <w:rFonts w:hint="eastAsia"/>
          <w:sz w:val="32"/>
          <w:szCs w:val="32"/>
          <w:lang w:val="en-US" w:eastAsia="zh-CN"/>
        </w:rPr>
        <w:t>案</w:t>
      </w:r>
      <w:r>
        <w:rPr>
          <w:rStyle w:val="14"/>
          <w:rFonts w:hint="eastAsia"/>
          <w:sz w:val="32"/>
          <w:szCs w:val="32"/>
          <w:lang w:val="en-US" w:eastAsia="zh-CN"/>
        </w:rPr>
        <w:t>[</w:t>
      </w:r>
      <w:r>
        <w:rPr>
          <w:rStyle w:val="14"/>
          <w:rFonts w:hint="eastAsia"/>
          <w:sz w:val="32"/>
          <w:szCs w:val="32"/>
          <w:lang w:val="en-US" w:eastAsia="zh-CN"/>
        </w:rPr>
        <w:footnoteReference w:id="3"/>
      </w:r>
      <w:r>
        <w:rPr>
          <w:rStyle w:val="14"/>
          <w:rFonts w:hint="eastAsia"/>
          <w:sz w:val="32"/>
          <w:szCs w:val="32"/>
          <w:lang w:val="en-US" w:eastAsia="zh-CN"/>
        </w:rPr>
        <w:t>]</w:t>
      </w:r>
      <w:r>
        <w:rPr>
          <w:rFonts w:hint="eastAsia"/>
          <w:sz w:val="32"/>
          <w:szCs w:val="32"/>
          <w:lang w:val="en-US" w:eastAsia="zh-CN"/>
        </w:rPr>
        <w:t>。</w:t>
      </w:r>
      <w:r>
        <w:rPr>
          <w:rFonts w:hint="eastAsia"/>
          <w:lang w:val="en-US" w:eastAsia="zh-CN"/>
        </w:rPr>
        <w:t>在户用光伏项目申报备案时，申报资料中施工单位资质证书和安全生产许可证书与实际施工单位不一致。违法将户用光伏安装项目委托给没有任何资质的善发鑫经营部（韩</w:t>
      </w:r>
      <w:bookmarkStart w:id="26" w:name="_GoBack"/>
      <w:bookmarkEnd w:id="26"/>
      <w:r>
        <w:rPr>
          <w:rFonts w:hint="eastAsia"/>
          <w:lang w:val="en-US" w:eastAsia="zh-CN"/>
        </w:rPr>
        <w:t>某某）施工，且未对施工情况进行定期安全检</w:t>
      </w:r>
      <w:r>
        <w:rPr>
          <w:rFonts w:hint="eastAsia"/>
          <w:sz w:val="32"/>
          <w:szCs w:val="32"/>
          <w:lang w:val="en-US" w:eastAsia="zh-CN"/>
        </w:rPr>
        <w:t>查</w:t>
      </w:r>
      <w:r>
        <w:rPr>
          <w:rStyle w:val="14"/>
          <w:rFonts w:hint="eastAsia"/>
          <w:sz w:val="32"/>
          <w:szCs w:val="32"/>
          <w:lang w:val="en-US" w:eastAsia="zh-CN"/>
        </w:rPr>
        <w:t>[</w:t>
      </w:r>
      <w:r>
        <w:rPr>
          <w:rStyle w:val="14"/>
          <w:rFonts w:hint="eastAsia"/>
          <w:sz w:val="32"/>
          <w:szCs w:val="32"/>
          <w:lang w:val="en-US" w:eastAsia="zh-CN"/>
        </w:rPr>
        <w:footnoteReference w:id="4"/>
      </w:r>
      <w:r>
        <w:rPr>
          <w:rStyle w:val="14"/>
          <w:rFonts w:hint="eastAsia"/>
          <w:sz w:val="32"/>
          <w:szCs w:val="32"/>
          <w:lang w:val="en-US" w:eastAsia="zh-CN"/>
        </w:rPr>
        <w:t>]</w:t>
      </w:r>
      <w:r>
        <w:rPr>
          <w:rFonts w:hint="eastAsia"/>
          <w:lang w:val="en-US" w:eastAsia="zh-CN"/>
        </w:rPr>
        <w:t>。</w:t>
      </w:r>
    </w:p>
    <w:p w14:paraId="4ADA9C93">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b/>
          <w:bCs/>
          <w:lang w:val="en-US" w:eastAsia="zh-CN"/>
        </w:rPr>
        <w:t>2.善发鑫经营部（韩某某）：</w:t>
      </w:r>
      <w:r>
        <w:rPr>
          <w:rFonts w:hint="eastAsia"/>
          <w:lang w:val="en-US" w:eastAsia="zh-CN"/>
        </w:rPr>
        <w:t>不具备安全生产条件。未取得任何资质证书，没有取得安全生产许可证，未建立安全生产规章制度，未配备专职或者兼职的安全生产管理人员；安全生产教育和培训流于形式，未建立安全生产教育和培训档案，未为施工作业人员缴纳保险</w:t>
      </w:r>
      <w:r>
        <w:rPr>
          <w:rFonts w:hint="eastAsia"/>
          <w:sz w:val="32"/>
          <w:szCs w:val="32"/>
          <w:lang w:val="en-US" w:eastAsia="zh-CN"/>
        </w:rPr>
        <w:t>费</w:t>
      </w:r>
      <w:r>
        <w:rPr>
          <w:rStyle w:val="14"/>
          <w:rFonts w:hint="eastAsia"/>
          <w:sz w:val="32"/>
          <w:szCs w:val="32"/>
          <w:lang w:val="en-US" w:eastAsia="zh-CN"/>
        </w:rPr>
        <w:t>[</w:t>
      </w:r>
      <w:r>
        <w:rPr>
          <w:rStyle w:val="14"/>
          <w:rFonts w:hint="eastAsia"/>
          <w:sz w:val="32"/>
          <w:szCs w:val="32"/>
          <w:lang w:val="en-US" w:eastAsia="zh-CN"/>
        </w:rPr>
        <w:footnoteReference w:id="5"/>
      </w:r>
      <w:r>
        <w:rPr>
          <w:rStyle w:val="14"/>
          <w:rFonts w:hint="eastAsia"/>
          <w:sz w:val="32"/>
          <w:szCs w:val="32"/>
          <w:lang w:val="en-US" w:eastAsia="zh-CN"/>
        </w:rPr>
        <w:t>]</w:t>
      </w:r>
      <w:r>
        <w:rPr>
          <w:rFonts w:hint="eastAsia"/>
          <w:lang w:val="en-US" w:eastAsia="zh-CN"/>
        </w:rPr>
        <w:t>；主要负责人未经过安全生产知识培训和考核合格，不具备建设工程安全生产知识和管理能力</w:t>
      </w:r>
      <w:r>
        <w:rPr>
          <w:rStyle w:val="14"/>
          <w:rFonts w:hint="eastAsia"/>
          <w:sz w:val="32"/>
          <w:szCs w:val="32"/>
          <w:lang w:val="en-US" w:eastAsia="zh-CN"/>
        </w:rPr>
        <w:t>[</w:t>
      </w:r>
      <w:r>
        <w:rPr>
          <w:rStyle w:val="14"/>
          <w:rFonts w:hint="eastAsia"/>
          <w:sz w:val="32"/>
          <w:szCs w:val="32"/>
          <w:lang w:val="en-US" w:eastAsia="zh-CN"/>
        </w:rPr>
        <w:footnoteReference w:id="6"/>
      </w:r>
      <w:r>
        <w:rPr>
          <w:rStyle w:val="14"/>
          <w:rFonts w:hint="eastAsia"/>
          <w:sz w:val="32"/>
          <w:szCs w:val="32"/>
          <w:lang w:val="en-US" w:eastAsia="zh-CN"/>
        </w:rPr>
        <w:t>]</w:t>
      </w:r>
      <w:r>
        <w:rPr>
          <w:rFonts w:hint="eastAsia"/>
          <w:lang w:val="en-US" w:eastAsia="zh-CN"/>
        </w:rPr>
        <w:t>。施工现场安全疏于管理。安排未取得高处作业操作证人员参加高处作业</w:t>
      </w:r>
      <w:r>
        <w:rPr>
          <w:rStyle w:val="14"/>
          <w:rFonts w:hint="eastAsia"/>
          <w:sz w:val="32"/>
          <w:szCs w:val="32"/>
          <w:lang w:val="en-US" w:eastAsia="zh-CN"/>
        </w:rPr>
        <w:t>[</w:t>
      </w:r>
      <w:r>
        <w:rPr>
          <w:rStyle w:val="14"/>
          <w:rFonts w:hint="eastAsia"/>
          <w:sz w:val="32"/>
          <w:szCs w:val="32"/>
          <w:lang w:val="en-US" w:eastAsia="zh-CN"/>
        </w:rPr>
        <w:footnoteReference w:id="7"/>
      </w:r>
      <w:r>
        <w:rPr>
          <w:rStyle w:val="14"/>
          <w:rFonts w:hint="eastAsia"/>
          <w:sz w:val="32"/>
          <w:szCs w:val="32"/>
          <w:lang w:val="en-US" w:eastAsia="zh-CN"/>
        </w:rPr>
        <w:t>]</w:t>
      </w:r>
      <w:r>
        <w:rPr>
          <w:rFonts w:hint="eastAsia"/>
          <w:sz w:val="32"/>
          <w:szCs w:val="32"/>
          <w:lang w:val="en-US" w:eastAsia="zh-CN"/>
        </w:rPr>
        <w:t>，</w:t>
      </w:r>
      <w:r>
        <w:rPr>
          <w:rFonts w:hint="eastAsia"/>
          <w:lang w:val="en-US" w:eastAsia="zh-CN"/>
        </w:rPr>
        <w:t>未督促作业人员配戴安全防护用品，施工现场也未设置任何临边防护设施。</w:t>
      </w:r>
    </w:p>
    <w:p w14:paraId="22C9883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eastAsia" w:ascii="楷体_GB2312" w:hAnsi="楷体_GB2312" w:eastAsia="楷体_GB2312" w:cs="楷体_GB2312"/>
          <w:lang w:val="en-US" w:eastAsia="zh-CN"/>
        </w:rPr>
      </w:pPr>
      <w:r>
        <w:rPr>
          <w:rFonts w:hint="eastAsia"/>
          <w:lang w:val="en-US" w:eastAsia="zh-CN"/>
        </w:rPr>
        <w:t>　　</w:t>
      </w:r>
      <w:bookmarkStart w:id="14" w:name="_Toc2488"/>
      <w:r>
        <w:rPr>
          <w:rFonts w:hint="eastAsia" w:ascii="楷体_GB2312" w:hAnsi="楷体_GB2312" w:eastAsia="楷体_GB2312" w:cs="楷体_GB2312"/>
          <w:lang w:val="en-US" w:eastAsia="zh-CN"/>
        </w:rPr>
        <w:t>（二）有关部门</w:t>
      </w:r>
      <w:bookmarkEnd w:id="14"/>
      <w:r>
        <w:rPr>
          <w:rFonts w:hint="eastAsia" w:ascii="楷体_GB2312" w:hAnsi="楷体_GB2312" w:eastAsia="楷体_GB2312" w:cs="楷体_GB2312"/>
          <w:lang w:val="en-US" w:eastAsia="zh-CN"/>
        </w:rPr>
        <w:tab/>
      </w:r>
    </w:p>
    <w:p w14:paraId="27826578">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区发改局：未充分履行“</w:t>
      </w:r>
      <w:r>
        <w:rPr>
          <w:rFonts w:hint="default"/>
          <w:lang w:val="en-US" w:eastAsia="zh-CN"/>
        </w:rPr>
        <w:t>统筹全区既有建筑加装太阳能电站安全工作，督促和指导农村居民用房加装太阳能电站安全管理</w:t>
      </w:r>
      <w:r>
        <w:rPr>
          <w:rFonts w:hint="eastAsia"/>
          <w:lang w:val="en-US" w:eastAsia="zh-CN"/>
        </w:rPr>
        <w:t>”职责。没有认真吸取以往户用分布式光伏事故教训，牵头建立户用分布式光伏安全生产管理制度，区镇两级职责不清。2024年12月31日，市6部门印发《关于规范分布式光伏发电项目建设管理工作的通知》后，未及时进行部署，通知精神没有得到有效落实，户用分布式光伏全链条监管特别是施工阶段安全监管缺失。</w:t>
      </w:r>
    </w:p>
    <w:p w14:paraId="1DFD64BD">
      <w:pPr>
        <w:keepNext w:val="0"/>
        <w:keepLines w:val="0"/>
        <w:pageBreakBefore w:val="0"/>
        <w:widowControl w:val="0"/>
        <w:kinsoku/>
        <w:wordWrap/>
        <w:overflowPunct/>
        <w:topLinePunct w:val="0"/>
        <w:autoSpaceDE/>
        <w:autoSpaceDN/>
        <w:bidi w:val="0"/>
        <w:adjustRightInd/>
        <w:snapToGrid/>
        <w:textAlignment w:val="auto"/>
        <w:outlineLvl w:val="1"/>
        <w:rPr>
          <w:rFonts w:hint="eastAsia"/>
          <w:lang w:val="en-US" w:eastAsia="zh-CN"/>
        </w:rPr>
      </w:pPr>
      <w:bookmarkStart w:id="15" w:name="_Toc29601"/>
      <w:r>
        <w:rPr>
          <w:rFonts w:hint="eastAsia" w:ascii="楷体_GB2312" w:hAnsi="楷体_GB2312" w:eastAsia="楷体_GB2312" w:cs="楷体_GB2312"/>
          <w:lang w:val="en-US" w:eastAsia="zh-CN"/>
        </w:rPr>
        <w:t>（三）地方党委政府</w:t>
      </w:r>
      <w:bookmarkEnd w:id="15"/>
    </w:p>
    <w:p w14:paraId="26C560F0">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浦南镇人民政府：安全生产监管责任未落实到位。吸取2023年浦南镇</w:t>
      </w:r>
      <w:r>
        <w:rPr>
          <w:rFonts w:hint="default"/>
          <w:lang w:val="en-US" w:eastAsia="zh-CN"/>
        </w:rPr>
        <w:t>尹巷村</w:t>
      </w:r>
      <w:r>
        <w:rPr>
          <w:rFonts w:hint="eastAsia"/>
          <w:lang w:val="en-US" w:eastAsia="zh-CN"/>
        </w:rPr>
        <w:t>“8</w:t>
      </w:r>
      <w:r>
        <w:rPr>
          <w:rFonts w:hint="default"/>
          <w:lang w:val="en-US" w:eastAsia="zh-CN"/>
        </w:rPr>
        <w:t>·</w:t>
      </w:r>
      <w:r>
        <w:rPr>
          <w:rFonts w:hint="eastAsia"/>
          <w:lang w:val="en-US" w:eastAsia="zh-CN"/>
        </w:rPr>
        <w:t>10”户用光伏高处坠落事故教训不深刻，虽然制定出台《浦南镇关于规范分布式光伏发电项目建设的指导意见（试行）》，对户用光伏项目报批进行了规范，但对光伏施工阶段安全监管没有作出明确要求，监管职责不清，施工阶段安全监管存在缺失。特别是在区发改局向浦南镇人民政府发出户用光伏发电项目信息，提醒加强安全监管的函的情况下，仍未明确职能部门履行施工阶段安全监管职责。2024年12月31日，市6部门印发《关于规范分布式光伏发电项目建设管理工作的通知》后，浦南镇党委于2025年1月13日召开班子会议，研究废除了《浦南镇关于规范分布式光伏发电项目建设的指导意见（试行）》，并停止办理分布式光伏申报手续，会上对分布式光伏发电项目下一步的管理工作没有作出新的规定和要求，直至2月12日事故发生，此阶段分布式光伏发电项目管理工作出现空白。</w:t>
      </w:r>
    </w:p>
    <w:p w14:paraId="5C4B3C2D">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rPr>
      </w:pPr>
      <w:bookmarkStart w:id="16" w:name="_Toc256000021"/>
      <w:r>
        <w:rPr>
          <w:rFonts w:hint="eastAsia"/>
          <w:lang w:val="en-US" w:eastAsia="zh-CN"/>
        </w:rPr>
        <w:t>　　</w:t>
      </w:r>
      <w:bookmarkStart w:id="17" w:name="_Toc20724"/>
      <w:r>
        <w:rPr>
          <w:rFonts w:hint="eastAsia" w:ascii="黑体" w:hAnsi="黑体" w:eastAsia="黑体" w:cs="黑体"/>
          <w:lang w:val="en-US" w:eastAsia="zh-CN"/>
        </w:rPr>
        <w:t>四</w:t>
      </w:r>
      <w:r>
        <w:rPr>
          <w:rFonts w:hint="eastAsia" w:ascii="黑体" w:hAnsi="黑体" w:eastAsia="黑体" w:cs="黑体"/>
        </w:rPr>
        <w:t>、对有关责任人员和责任单位的处理建议</w:t>
      </w:r>
      <w:bookmarkEnd w:id="16"/>
      <w:bookmarkEnd w:id="17"/>
    </w:p>
    <w:p w14:paraId="339EFA63">
      <w:pPr>
        <w:keepNext w:val="0"/>
        <w:keepLines w:val="0"/>
        <w:pageBreakBefore w:val="0"/>
        <w:widowControl w:val="0"/>
        <w:kinsoku/>
        <w:wordWrap/>
        <w:overflowPunct/>
        <w:topLinePunct w:val="0"/>
        <w:autoSpaceDE/>
        <w:autoSpaceDN/>
        <w:bidi w:val="0"/>
        <w:adjustRightInd/>
        <w:snapToGrid/>
        <w:textAlignment w:val="auto"/>
        <w:outlineLvl w:val="1"/>
        <w:rPr>
          <w:rFonts w:hint="default"/>
          <w:lang w:eastAsia="zh-CN"/>
        </w:rPr>
      </w:pPr>
      <w:bookmarkStart w:id="18" w:name="_Toc1007"/>
      <w:bookmarkStart w:id="19" w:name="_Toc2740"/>
      <w:bookmarkStart w:id="20" w:name="_Toc2458"/>
      <w:bookmarkStart w:id="21" w:name="_Toc5447"/>
      <w:r>
        <w:rPr>
          <w:rFonts w:hint="eastAsia" w:ascii="楷体_GB2312" w:hAnsi="楷体_GB2312" w:eastAsia="楷体_GB2312" w:cs="楷体_GB2312"/>
          <w:lang w:eastAsia="zh-CN"/>
        </w:rPr>
        <w:t>（一）</w:t>
      </w:r>
      <w:bookmarkEnd w:id="18"/>
      <w:bookmarkEnd w:id="19"/>
      <w:bookmarkEnd w:id="20"/>
      <w:r>
        <w:rPr>
          <w:rFonts w:hint="eastAsia" w:ascii="楷体_GB2312" w:hAnsi="楷体_GB2312" w:eastAsia="楷体_GB2312" w:cs="楷体_GB2312"/>
          <w:lang w:eastAsia="zh-CN"/>
        </w:rPr>
        <w:t>对事故有关责任人的处理建议</w:t>
      </w:r>
      <w:bookmarkEnd w:id="21"/>
    </w:p>
    <w:p w14:paraId="3CDB8994">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1.韩某某</w:t>
      </w:r>
      <w:r>
        <w:rPr>
          <w:rFonts w:hint="default"/>
        </w:rPr>
        <w:t>，</w:t>
      </w:r>
      <w:r>
        <w:rPr>
          <w:rFonts w:hint="eastAsia"/>
          <w:lang w:eastAsia="zh-CN"/>
        </w:rPr>
        <w:t>作为</w:t>
      </w:r>
      <w:r>
        <w:rPr>
          <w:rFonts w:hint="eastAsia"/>
          <w:lang w:val="en-US" w:eastAsia="zh-CN"/>
        </w:rPr>
        <w:t>善发鑫经营部主要负责人，</w:t>
      </w:r>
      <w:r>
        <w:rPr>
          <w:rFonts w:hint="eastAsia"/>
          <w:lang w:eastAsia="zh-CN"/>
        </w:rPr>
        <w:t>未依法履行主要负责任人安全生产责任，对事故的发生负有责任，</w:t>
      </w:r>
      <w:r>
        <w:rPr>
          <w:rFonts w:hint="default"/>
          <w:lang w:val="en-US" w:eastAsia="zh-CN"/>
        </w:rPr>
        <w:t>建议</w:t>
      </w:r>
      <w:r>
        <w:rPr>
          <w:rFonts w:hint="eastAsia"/>
          <w:lang w:val="en-US" w:eastAsia="zh-CN"/>
        </w:rPr>
        <w:t>移送公安机关依法处理</w:t>
      </w:r>
      <w:r>
        <w:rPr>
          <w:rFonts w:hint="default"/>
          <w:lang w:val="en-US" w:eastAsia="zh-CN"/>
        </w:rPr>
        <w:t>。</w:t>
      </w:r>
    </w:p>
    <w:p w14:paraId="5C5CDF85">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　　2.陈某某，中益合公司实际控制人，未组织制定并实施本单位安全生产规章制度，未组织制定并实施本单位安全生产教育和培训计划，将光伏项目安装施工委托给不具备安全生产条件的个体工商户，且未组织人员对施工情况进行检查，对事故负有责任，</w:t>
      </w:r>
      <w:r>
        <w:rPr>
          <w:rFonts w:hint="default"/>
          <w:lang w:val="en-US" w:eastAsia="zh-CN"/>
        </w:rPr>
        <w:t>建议</w:t>
      </w:r>
      <w:r>
        <w:rPr>
          <w:rFonts w:hint="eastAsia"/>
          <w:lang w:val="en-US" w:eastAsia="zh-CN"/>
        </w:rPr>
        <w:t>由海州</w:t>
      </w:r>
      <w:r>
        <w:rPr>
          <w:rFonts w:hint="default"/>
          <w:lang w:val="en-US" w:eastAsia="zh-CN"/>
        </w:rPr>
        <w:t>区应急管理局依照《</w:t>
      </w:r>
      <w:r>
        <w:rPr>
          <w:rFonts w:hint="eastAsia"/>
          <w:lang w:eastAsia="zh-CN"/>
        </w:rPr>
        <w:t>中华人民共和国安全生产法</w:t>
      </w:r>
      <w:r>
        <w:rPr>
          <w:rFonts w:hint="default"/>
          <w:lang w:val="en-US" w:eastAsia="zh-CN"/>
        </w:rPr>
        <w:t>》第</w:t>
      </w:r>
      <w:r>
        <w:rPr>
          <w:rFonts w:hint="eastAsia"/>
          <w:lang w:val="en-US" w:eastAsia="zh-CN"/>
        </w:rPr>
        <w:t>九十五</w:t>
      </w:r>
      <w:r>
        <w:rPr>
          <w:rFonts w:hint="default"/>
          <w:lang w:val="en-US" w:eastAsia="zh-CN"/>
        </w:rPr>
        <w:t>条第一项</w:t>
      </w:r>
      <w:r>
        <w:rPr>
          <w:rStyle w:val="14"/>
          <w:rFonts w:hint="eastAsia"/>
          <w:sz w:val="32"/>
          <w:szCs w:val="32"/>
          <w:lang w:val="en-US" w:eastAsia="zh-CN"/>
        </w:rPr>
        <w:t>[</w:t>
      </w:r>
      <w:r>
        <w:rPr>
          <w:rStyle w:val="14"/>
          <w:rFonts w:hint="eastAsia"/>
          <w:sz w:val="32"/>
          <w:szCs w:val="32"/>
          <w:lang w:val="en-US" w:eastAsia="zh-CN"/>
        </w:rPr>
        <w:footnoteReference w:id="8"/>
      </w:r>
      <w:r>
        <w:rPr>
          <w:rStyle w:val="14"/>
          <w:rFonts w:hint="eastAsia"/>
          <w:sz w:val="32"/>
          <w:szCs w:val="32"/>
          <w:lang w:val="en-US" w:eastAsia="zh-CN"/>
        </w:rPr>
        <w:t>]</w:t>
      </w:r>
      <w:r>
        <w:rPr>
          <w:rFonts w:hint="eastAsia"/>
          <w:lang w:val="en-US" w:eastAsia="zh-CN"/>
        </w:rPr>
        <w:t>规定对其予以行政处罚。</w:t>
      </w:r>
    </w:p>
    <w:p w14:paraId="1E27315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default"/>
          <w:lang w:val="en-US" w:eastAsia="zh-CN"/>
        </w:rPr>
      </w:pPr>
      <w:r>
        <w:rPr>
          <w:rFonts w:hint="eastAsia"/>
          <w:lang w:val="en-US" w:eastAsia="zh-CN"/>
        </w:rPr>
        <w:t>　　</w:t>
      </w:r>
      <w:bookmarkStart w:id="22" w:name="_Toc27423"/>
      <w:r>
        <w:rPr>
          <w:rFonts w:hint="eastAsia" w:ascii="楷体_GB2312" w:hAnsi="楷体_GB2312" w:eastAsia="楷体_GB2312" w:cs="楷体_GB2312"/>
          <w:lang w:val="en-US" w:eastAsia="zh-CN"/>
        </w:rPr>
        <w:t>（二）对有关涉事企业的处理建议</w:t>
      </w:r>
      <w:bookmarkEnd w:id="22"/>
    </w:p>
    <w:p w14:paraId="1C980C0B">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中益合公司，</w:t>
      </w:r>
      <w:r>
        <w:rPr>
          <w:rFonts w:hint="default"/>
        </w:rPr>
        <w:t>对事故负有责任，建议由海州区应急管理局</w:t>
      </w:r>
      <w:r>
        <w:rPr>
          <w:rFonts w:hint="default"/>
          <w:lang w:val="en-US" w:eastAsia="zh-CN"/>
        </w:rPr>
        <w:t>依照《中华人民共和国安全生产法》第一百一十四条</w:t>
      </w:r>
      <w:r>
        <w:rPr>
          <w:rFonts w:hint="eastAsia"/>
          <w:lang w:val="en-US" w:eastAsia="zh-CN"/>
        </w:rPr>
        <w:t>第一项</w:t>
      </w:r>
      <w:r>
        <w:rPr>
          <w:rStyle w:val="14"/>
          <w:rFonts w:hint="eastAsia"/>
          <w:sz w:val="32"/>
          <w:szCs w:val="32"/>
          <w:lang w:val="en-US" w:eastAsia="zh-CN"/>
        </w:rPr>
        <w:t>[</w:t>
      </w:r>
      <w:r>
        <w:rPr>
          <w:rStyle w:val="14"/>
          <w:rFonts w:hint="eastAsia"/>
          <w:sz w:val="32"/>
          <w:szCs w:val="32"/>
          <w:lang w:val="en-US" w:eastAsia="zh-CN"/>
        </w:rPr>
        <w:footnoteReference w:id="9"/>
      </w:r>
      <w:r>
        <w:rPr>
          <w:rStyle w:val="14"/>
          <w:rFonts w:hint="eastAsia"/>
          <w:sz w:val="32"/>
          <w:szCs w:val="32"/>
          <w:lang w:val="en-US" w:eastAsia="zh-CN"/>
        </w:rPr>
        <w:t>]</w:t>
      </w:r>
      <w:r>
        <w:rPr>
          <w:rFonts w:hint="default"/>
        </w:rPr>
        <w:t>对其</w:t>
      </w:r>
      <w:r>
        <w:rPr>
          <w:rFonts w:hint="eastAsia"/>
          <w:lang w:eastAsia="zh-CN"/>
        </w:rPr>
        <w:t>予以行政</w:t>
      </w:r>
      <w:r>
        <w:rPr>
          <w:rFonts w:hint="default"/>
        </w:rPr>
        <w:t>处罚。</w:t>
      </w:r>
    </w:p>
    <w:p w14:paraId="0C007CBD">
      <w:pPr>
        <w:keepNext w:val="0"/>
        <w:keepLines w:val="0"/>
        <w:pageBreakBefore w:val="0"/>
        <w:widowControl w:val="0"/>
        <w:kinsoku/>
        <w:wordWrap/>
        <w:overflowPunct/>
        <w:topLinePunct w:val="0"/>
        <w:autoSpaceDE/>
        <w:autoSpaceDN/>
        <w:bidi w:val="0"/>
        <w:adjustRightInd/>
        <w:snapToGrid/>
        <w:textAlignment w:val="auto"/>
        <w:outlineLvl w:val="1"/>
        <w:rPr>
          <w:rFonts w:hint="eastAsia"/>
          <w:lang w:eastAsia="zh-CN"/>
        </w:rPr>
      </w:pPr>
      <w:bookmarkStart w:id="23" w:name="_Toc6674"/>
      <w:r>
        <w:rPr>
          <w:rFonts w:hint="eastAsia" w:ascii="楷体_GB2312" w:hAnsi="楷体_GB2312" w:eastAsia="楷体_GB2312" w:cs="楷体_GB2312"/>
          <w:lang w:eastAsia="zh-CN"/>
        </w:rPr>
        <w:t>（三）相关单位处理建议</w:t>
      </w:r>
      <w:bookmarkEnd w:id="23"/>
    </w:p>
    <w:p w14:paraId="79CF44D0">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bookmarkStart w:id="24" w:name="_Toc256000029"/>
      <w:r>
        <w:rPr>
          <w:rFonts w:hint="default"/>
          <w:lang w:val="en-US" w:eastAsia="zh-CN"/>
        </w:rPr>
        <w:t>责成</w:t>
      </w:r>
      <w:r>
        <w:rPr>
          <w:rFonts w:hint="eastAsia"/>
          <w:lang w:val="en-US" w:eastAsia="zh-CN"/>
        </w:rPr>
        <w:t>浦南镇</w:t>
      </w:r>
      <w:r>
        <w:rPr>
          <w:rFonts w:hint="default"/>
          <w:lang w:val="en-US" w:eastAsia="zh-CN"/>
        </w:rPr>
        <w:t>人民政府</w:t>
      </w:r>
      <w:r>
        <w:rPr>
          <w:rFonts w:hint="eastAsia"/>
          <w:lang w:val="en-US" w:eastAsia="zh-CN"/>
        </w:rPr>
        <w:t>、区发改局</w:t>
      </w:r>
      <w:r>
        <w:rPr>
          <w:rFonts w:hint="default"/>
          <w:lang w:val="en-US" w:eastAsia="zh-CN"/>
        </w:rPr>
        <w:t>向</w:t>
      </w:r>
      <w:r>
        <w:rPr>
          <w:rFonts w:hint="eastAsia"/>
          <w:lang w:val="en-US" w:eastAsia="zh-CN"/>
        </w:rPr>
        <w:t>海州区</w:t>
      </w:r>
      <w:r>
        <w:rPr>
          <w:rFonts w:hint="default"/>
          <w:lang w:val="en-US" w:eastAsia="zh-CN"/>
        </w:rPr>
        <w:t>人民政府作出深刻书面检查，认真总结和吸取事故教训，进一步加强安全生产等工作。</w:t>
      </w:r>
    </w:p>
    <w:p w14:paraId="2CA656E1">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cs="黑体"/>
        </w:rPr>
      </w:pPr>
      <w:bookmarkStart w:id="25" w:name="_Toc28917"/>
      <w:r>
        <w:rPr>
          <w:rFonts w:hint="eastAsia" w:ascii="黑体" w:hAnsi="黑体" w:eastAsia="黑体" w:cs="黑体"/>
          <w:lang w:val="en-US" w:eastAsia="zh-CN"/>
        </w:rPr>
        <w:t>五</w:t>
      </w:r>
      <w:r>
        <w:rPr>
          <w:rFonts w:hint="eastAsia" w:ascii="黑体" w:hAnsi="黑体" w:eastAsia="黑体" w:cs="黑体"/>
        </w:rPr>
        <w:t>、事故整改和防范措施</w:t>
      </w:r>
      <w:bookmarkEnd w:id="24"/>
      <w:bookmarkEnd w:id="25"/>
    </w:p>
    <w:p w14:paraId="6A5B56B2">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ascii="楷体_GB2312" w:hAnsi="楷体_GB2312" w:eastAsia="楷体_GB2312" w:cs="楷体_GB2312"/>
          <w:lang w:val="en-US" w:eastAsia="zh-CN"/>
        </w:rPr>
        <w:t>（一）树牢安全发展理念，坚守安全红线。</w:t>
      </w:r>
      <w:r>
        <w:rPr>
          <w:rFonts w:hint="eastAsia"/>
          <w:lang w:val="en-US" w:eastAsia="zh-CN"/>
        </w:rPr>
        <w:t>各镇街（园区、农场）、区各部门</w:t>
      </w:r>
      <w:r>
        <w:rPr>
          <w:rFonts w:hint="default"/>
          <w:lang w:val="en-US" w:eastAsia="zh-CN"/>
        </w:rPr>
        <w:t>特别是</w:t>
      </w:r>
      <w:r>
        <w:rPr>
          <w:rFonts w:hint="eastAsia"/>
          <w:lang w:val="en-US" w:eastAsia="zh-CN"/>
        </w:rPr>
        <w:t>浦南镇、区发改局</w:t>
      </w:r>
      <w:r>
        <w:rPr>
          <w:rFonts w:hint="default"/>
          <w:lang w:val="en-US" w:eastAsia="zh-CN"/>
        </w:rPr>
        <w:t>，要深入学习贯彻习近平总书记关于安全生产的重要指示批示精神，进一步提高政治站位，强化底线思维、红线意识，树牢安全发展理念。要深刻</w:t>
      </w:r>
      <w:r>
        <w:rPr>
          <w:rFonts w:hint="eastAsia"/>
          <w:lang w:val="en-US" w:eastAsia="zh-CN"/>
        </w:rPr>
        <w:t>吸</w:t>
      </w:r>
      <w:r>
        <w:rPr>
          <w:rFonts w:hint="default"/>
          <w:lang w:val="en-US" w:eastAsia="zh-CN"/>
        </w:rPr>
        <w:t>取此次事故教训，严格落实“党政同责、一岗双责、齐抓共管、失职追责”的安全生产责任体系和“三管三必须”要求，切实把防控化解安全风险隐患摆在更加突出的位置，聚焦安全生产基础性、源头性、瓶颈性问题，通过完善体制、健全制度、创新机制等方式，强化责任、强化管理、强化监督，切实将安全生产责任制和安全防范措施落到实处，有效防范各类事故的发生。</w:t>
      </w:r>
    </w:p>
    <w:p w14:paraId="466389D1">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楷体_GB2312" w:hAnsi="楷体_GB2312" w:eastAsia="楷体_GB2312" w:cs="楷体_GB2312"/>
          <w:lang w:val="en-US" w:eastAsia="zh-CN"/>
        </w:rPr>
        <w:t>（二）建立健全管理制度，堵塞管理漏洞。</w:t>
      </w:r>
      <w:r>
        <w:rPr>
          <w:rFonts w:hint="eastAsia"/>
          <w:lang w:val="en-US" w:eastAsia="zh-CN"/>
        </w:rPr>
        <w:t>区发改局要切实发挥分布式光伏发电项目建设和运行监督管理的督促、指导作用，加强与市自然资源和规划局海州分局</w:t>
      </w:r>
      <w:r>
        <w:rPr>
          <w:rFonts w:hint="default"/>
          <w:lang w:val="en-US" w:eastAsia="zh-CN"/>
        </w:rPr>
        <w:t>、</w:t>
      </w:r>
      <w:r>
        <w:rPr>
          <w:rFonts w:hint="eastAsia"/>
          <w:lang w:val="en-US" w:eastAsia="zh-CN"/>
        </w:rPr>
        <w:t>区住建局、区城管局、区数据局、国网连云港供电公司等部门</w:t>
      </w:r>
      <w:r>
        <w:rPr>
          <w:rFonts w:hint="default"/>
          <w:lang w:val="en-US" w:eastAsia="zh-CN"/>
        </w:rPr>
        <w:t>会商，</w:t>
      </w:r>
      <w:r>
        <w:rPr>
          <w:rFonts w:hint="eastAsia"/>
          <w:lang w:val="en-US" w:eastAsia="zh-CN"/>
        </w:rPr>
        <w:t>建立健全分布式光伏发电项目建设安全管理制度，明确区级相关部门和镇街（园区、农场）安全监管责任，实施项目从规划到备案、建设、电网接入、运行管理“全流程、各环节”安全监管，</w:t>
      </w:r>
      <w:r>
        <w:rPr>
          <w:rFonts w:hint="default"/>
          <w:lang w:val="en-US" w:eastAsia="zh-CN"/>
        </w:rPr>
        <w:t>堵塞</w:t>
      </w:r>
      <w:r>
        <w:rPr>
          <w:rFonts w:hint="eastAsia"/>
          <w:lang w:val="en-US" w:eastAsia="zh-CN"/>
        </w:rPr>
        <w:t>管理</w:t>
      </w:r>
      <w:r>
        <w:rPr>
          <w:rFonts w:hint="default"/>
          <w:lang w:val="en-US" w:eastAsia="zh-CN"/>
        </w:rPr>
        <w:t>漏</w:t>
      </w:r>
      <w:r>
        <w:rPr>
          <w:rFonts w:hint="eastAsia"/>
          <w:lang w:val="en-US" w:eastAsia="zh-CN"/>
        </w:rPr>
        <w:t>洞。要进一步强化施工阶段安全监管，坚决杜绝不具备安全生产条件的单位参加建设，要加强备案信息共享，防止出现现场施工队伍与备案信息不符，出现挂靠、出借资质等违法行为。投资主体、施工单位、运维单位</w:t>
      </w:r>
      <w:r>
        <w:rPr>
          <w:rFonts w:hint="default"/>
          <w:lang w:val="en-US" w:eastAsia="zh-CN"/>
        </w:rPr>
        <w:t>要</w:t>
      </w:r>
      <w:r>
        <w:rPr>
          <w:rFonts w:hint="eastAsia"/>
          <w:lang w:val="en-US" w:eastAsia="zh-CN"/>
        </w:rPr>
        <w:t>取得相应资质和许可，</w:t>
      </w:r>
      <w:r>
        <w:rPr>
          <w:rFonts w:hint="default"/>
          <w:lang w:val="en-US" w:eastAsia="zh-CN"/>
        </w:rPr>
        <w:t>严格落实安全生产主体责任，</w:t>
      </w:r>
      <w:r>
        <w:rPr>
          <w:rFonts w:hint="eastAsia"/>
          <w:lang w:val="en-US" w:eastAsia="zh-CN"/>
        </w:rPr>
        <w:t>建立健全安全生产规章制度，加强全体员工安全教育培训，保证本单位安全生产投入的有效实施，加强隐患排查治理，及时消除事故隐患，确保安全生产。</w:t>
      </w:r>
    </w:p>
    <w:p w14:paraId="087D16A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ascii="楷体_GB2312" w:hAnsi="楷体_GB2312" w:eastAsia="楷体_GB2312" w:cs="楷体_GB2312"/>
          <w:lang w:val="en-US" w:eastAsia="zh-CN"/>
        </w:rPr>
        <w:t>（三）全面开展安全整治，强化隐患排查。</w:t>
      </w:r>
      <w:r>
        <w:rPr>
          <w:rFonts w:hint="eastAsia"/>
          <w:lang w:val="en-US" w:eastAsia="zh-CN"/>
        </w:rPr>
        <w:t>区发改局要立即牵头作出部署，采取有效措施，组织全区镇街（园区、农场）和区相关部门开展分布式光伏发电项目建设专项整治行动，采取逐家过堂的方式，围绕房屋的合法性、备案的真实性、施工的安全性开展全流程全环节排查，要重点对施工单位信息与备案信息是否相符、是否存在挂靠和出借资质等违法行为、是否具备相应资质、登高作业人员是否持有高处作业证、是否配戴安全防护用品、焊工是否具有焊工证、吊装作业是否符合吊装安全管理要求等情况进行核查，全面摸清风险底数，列出问题清单、明确整改要求、限期完成整改，有效防范同类事故再次发生。要切实加大执法检查力度，严格执法检查，严厉打击非法违法行为。</w:t>
      </w:r>
    </w:p>
    <w:p w14:paraId="767929D2">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24A50840">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63DD8147">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sectPr>
      <w:footerReference r:id="rId12" w:type="default"/>
      <w:pgSz w:w="11906" w:h="16838"/>
      <w:pgMar w:top="2098" w:right="1474" w:bottom="1984" w:left="1587"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218615-D6AC-4125-AF83-2DF1E0EC1F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0AE5551F-3E18-4D32-830C-2F25739FA6AF}"/>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D502B46D-1B37-406C-A4C8-C380EA7CA6C7}"/>
  </w:font>
  <w:font w:name="楷体_GB2312">
    <w:panose1 w:val="02010609030101010101"/>
    <w:charset w:val="86"/>
    <w:family w:val="auto"/>
    <w:pitch w:val="default"/>
    <w:sig w:usb0="00000001" w:usb1="080E0000" w:usb2="00000000" w:usb3="00000000" w:csb0="00040000" w:csb1="00000000"/>
    <w:embedRegular r:id="rId4" w:fontKey="{8A03390D-72C2-4976-8EBD-96283D368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3D65">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8FA91">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ABD8">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FF2B3">
    <w:pPr>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F4220">
    <w:pPr>
      <w:ind w:firstLine="640"/>
    </w:pPr>
    <w:r>
      <w:rPr>
        <w:sz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8E3F5">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6A8E3F5">
                    <w:pPr>
                      <w:pStyle w:val="6"/>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spacing w:line="240" w:lineRule="auto"/>
        <w:ind w:firstLine="640"/>
      </w:pPr>
      <w:r>
        <w:separator/>
      </w:r>
    </w:p>
  </w:footnote>
  <w:footnote w:type="continuationSeparator" w:id="21">
    <w:p>
      <w:pPr>
        <w:spacing w:line="240" w:lineRule="auto"/>
        <w:ind w:firstLine="640"/>
      </w:pPr>
      <w:r>
        <w:continuationSeparator/>
      </w:r>
    </w:p>
  </w:footnote>
  <w:footnote w:id="0">
    <w:p w14:paraId="30713709">
      <w:pPr>
        <w:pStyle w:val="8"/>
        <w:snapToGrid w:val="0"/>
        <w:rPr>
          <w:rFonts w:hint="eastAsia"/>
          <w:lang w:eastAsia="zh-CN"/>
        </w:rPr>
      </w:pPr>
      <w:r>
        <w:rPr>
          <w:rFonts w:hint="eastAsia"/>
          <w:lang w:val="en-US" w:eastAsia="zh-CN"/>
        </w:rPr>
        <w:t>[</w:t>
      </w:r>
      <w:r>
        <w:rPr>
          <w:rFonts w:hint="eastAsia"/>
          <w:lang w:eastAsia="zh-CN"/>
        </w:rPr>
        <w:footnoteRef/>
      </w:r>
      <w:r>
        <w:rPr>
          <w:rFonts w:hint="eastAsia"/>
          <w:lang w:val="en-US" w:eastAsia="zh-CN"/>
        </w:rPr>
        <w:t>]</w:t>
      </w:r>
      <w:r>
        <w:rPr>
          <w:rFonts w:hint="eastAsia"/>
          <w:lang w:eastAsia="zh-CN"/>
        </w:rPr>
        <w:t xml:space="preserve"> 《建设工程安全生产管理条例》第二十条：  施工单位从事建设工程的新建、扩建、改建和拆除等活动，应当具备国家规定的注册资本、专业技术人员、技术装备和安全生产等条件，依法取得相应等级的资质证书，并在其资质等级许可的范围内承揽工程。</w:t>
      </w:r>
    </w:p>
  </w:footnote>
  <w:footnote w:id="1">
    <w:p w14:paraId="44D65B1F">
      <w:pPr>
        <w:pStyle w:val="8"/>
        <w:snapToGrid w:val="0"/>
        <w:rPr>
          <w:rFonts w:hint="eastAsia"/>
          <w:lang w:eastAsia="zh-CN"/>
        </w:rPr>
      </w:pPr>
      <w:r>
        <w:rPr>
          <w:rFonts w:hint="default"/>
          <w:lang w:val="en-US" w:eastAsia="zh-CN"/>
        </w:rPr>
        <w:t>[</w:t>
      </w:r>
      <w:r>
        <w:rPr>
          <w:rFonts w:hint="default"/>
          <w:lang w:eastAsia="zh-CN"/>
        </w:rPr>
        <w:footnoteRef/>
      </w:r>
      <w:r>
        <w:rPr>
          <w:rFonts w:hint="default"/>
          <w:lang w:val="en-US" w:eastAsia="zh-CN"/>
        </w:rPr>
        <w:t>]</w:t>
      </w:r>
      <w:r>
        <w:rPr>
          <w:rFonts w:hint="eastAsia"/>
          <w:lang w:eastAsia="zh-CN"/>
        </w:rPr>
        <w:t xml:space="preserve"> 《建设工程安全生产管理条例》第二十五条：  垂直运输机械作业人员、安装拆卸工、爆破作业人员、起重信号工、登高架设作业人员等特种作业人员，必须按照国家有关规定经过专门的安全作业培训，并取得特种作业操作资格证书后，方可上岗作业。</w:t>
      </w:r>
    </w:p>
  </w:footnote>
  <w:footnote w:id="2">
    <w:p w14:paraId="483B12E5">
      <w:pPr>
        <w:pStyle w:val="8"/>
        <w:snapToGrid w:val="0"/>
        <w:rPr>
          <w:rFonts w:hint="eastAsia"/>
          <w:lang w:eastAsia="zh-CN"/>
        </w:rPr>
      </w:pPr>
      <w:r>
        <w:rPr>
          <w:rFonts w:hint="default"/>
          <w:lang w:eastAsia="zh-CN"/>
        </w:rPr>
        <w:t>[</w:t>
      </w:r>
      <w:r>
        <w:rPr>
          <w:rFonts w:hint="default"/>
          <w:lang w:eastAsia="zh-CN"/>
        </w:rPr>
        <w:footnoteRef/>
      </w:r>
      <w:r>
        <w:rPr>
          <w:rFonts w:hint="default"/>
          <w:lang w:eastAsia="zh-CN"/>
        </w:rPr>
        <w:t>]</w:t>
      </w:r>
      <w:r>
        <w:rPr>
          <w:rFonts w:hint="eastAsia"/>
          <w:lang w:eastAsia="zh-CN"/>
        </w:rPr>
        <w:t xml:space="preserve"> 《中华人民共和国安全生产法》第二十四条：矿山、金属冶炼、建筑施工、运输单位和危险物品的生产、经营、储存、装卸单位，应当设置安全生产管理机构或者配备专职安全生产管理人员。</w:t>
      </w:r>
    </w:p>
  </w:footnote>
  <w:footnote w:id="3">
    <w:p w14:paraId="6390EC01">
      <w:pPr>
        <w:pStyle w:val="8"/>
        <w:snapToGrid w:val="0"/>
        <w:rPr>
          <w:rFonts w:hint="eastAsia"/>
          <w:lang w:eastAsia="zh-CN"/>
        </w:rPr>
      </w:pPr>
      <w:r>
        <w:rPr>
          <w:rFonts w:hint="eastAsia"/>
          <w:lang w:eastAsia="zh-CN"/>
        </w:rPr>
        <w:t>[</w:t>
      </w:r>
      <w:r>
        <w:rPr>
          <w:rFonts w:hint="eastAsia"/>
          <w:lang w:eastAsia="zh-CN"/>
        </w:rPr>
        <w:footnoteRef/>
      </w:r>
      <w:r>
        <w:rPr>
          <w:rFonts w:hint="eastAsia"/>
          <w:lang w:eastAsia="zh-CN"/>
        </w:rPr>
        <w:t>] 《中华人民共和国安全生产法》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4">
    <w:p w14:paraId="71C32171">
      <w:pPr>
        <w:pStyle w:val="8"/>
        <w:snapToGrid w:val="0"/>
        <w:rPr>
          <w:rFonts w:hint="eastAsia"/>
          <w:lang w:eastAsia="zh-CN"/>
        </w:rPr>
      </w:pPr>
      <w:r>
        <w:rPr>
          <w:rFonts w:hint="eastAsia"/>
          <w:lang w:eastAsia="zh-CN"/>
        </w:rPr>
        <w:t>[</w:t>
      </w:r>
      <w:r>
        <w:rPr>
          <w:rFonts w:hint="eastAsia"/>
          <w:lang w:eastAsia="zh-CN"/>
        </w:rPr>
        <w:footnoteRef/>
      </w:r>
      <w:r>
        <w:rPr>
          <w:rFonts w:hint="eastAsia"/>
          <w:lang w:eastAsia="zh-CN"/>
        </w:rPr>
        <w:t>] 《中华人民共和国安全生产法》第四十九条：生产经营单位不得将生产经营项目、场所、设备发包或者出租给不具备安全生产条件或者相应资质的单位或者个人。</w:t>
      </w:r>
    </w:p>
  </w:footnote>
  <w:footnote w:id="5">
    <w:p w14:paraId="79637DE7">
      <w:pPr>
        <w:pStyle w:val="8"/>
        <w:snapToGrid w:val="0"/>
        <w:rPr>
          <w:rFonts w:hint="eastAsia"/>
          <w:lang w:eastAsia="zh-CN"/>
        </w:rPr>
      </w:pPr>
      <w:r>
        <w:rPr>
          <w:rFonts w:hint="eastAsia"/>
          <w:lang w:eastAsia="zh-CN"/>
        </w:rPr>
        <w:t>[</w:t>
      </w:r>
      <w:r>
        <w:rPr>
          <w:rFonts w:hint="eastAsia"/>
          <w:lang w:eastAsia="zh-CN"/>
        </w:rPr>
        <w:footnoteRef/>
      </w:r>
      <w:r>
        <w:rPr>
          <w:rFonts w:hint="eastAsia"/>
          <w:lang w:eastAsia="zh-CN"/>
        </w:rPr>
        <w:t>] 《中华人民共和国安全生产法》第五十一条：生产经营单位必须依法参加工伤保险，为从业人员缴纳保险费。</w:t>
      </w:r>
    </w:p>
  </w:footnote>
  <w:footnote w:id="6">
    <w:p w14:paraId="4683A366">
      <w:pPr>
        <w:pStyle w:val="8"/>
        <w:snapToGrid w:val="0"/>
      </w:pPr>
      <w:r>
        <w:rPr>
          <w:rFonts w:hint="eastAsia"/>
          <w:lang w:eastAsia="zh-CN"/>
        </w:rPr>
        <w:t>[</w:t>
      </w:r>
      <w:r>
        <w:rPr>
          <w:rFonts w:hint="eastAsia"/>
          <w:lang w:eastAsia="zh-CN"/>
        </w:rPr>
        <w:footnoteRef/>
      </w:r>
      <w:r>
        <w:rPr>
          <w:rFonts w:hint="eastAsia"/>
          <w:lang w:eastAsia="zh-CN"/>
        </w:rPr>
        <w:t xml:space="preserve">] </w:t>
      </w:r>
      <w:r>
        <w:rPr>
          <w:rFonts w:hint="eastAsia"/>
          <w:lang w:val="en-US" w:eastAsia="zh-CN"/>
        </w:rPr>
        <w:t>《中华人民共和国安全生产法》第二十七条：生产经营单位的主要负责人和安全生产管理人员必须具备与本单位所从事的生产经营活动相应的安全生产知识和管理能力。</w:t>
      </w:r>
    </w:p>
  </w:footnote>
  <w:footnote w:id="7">
    <w:p w14:paraId="7B9F3A06">
      <w:pPr>
        <w:pStyle w:val="8"/>
        <w:snapToGrid w:val="0"/>
        <w:rPr>
          <w:rFonts w:hint="eastAsia"/>
          <w:lang w:eastAsia="zh-CN"/>
        </w:rPr>
      </w:pPr>
      <w:r>
        <w:rPr>
          <w:rFonts w:hint="eastAsia"/>
          <w:lang w:eastAsia="zh-CN"/>
        </w:rPr>
        <w:t>[</w:t>
      </w:r>
      <w:r>
        <w:rPr>
          <w:rFonts w:hint="eastAsia"/>
          <w:lang w:eastAsia="zh-CN"/>
        </w:rPr>
        <w:footnoteRef/>
      </w:r>
      <w:r>
        <w:rPr>
          <w:rFonts w:hint="eastAsia"/>
          <w:lang w:eastAsia="zh-CN"/>
        </w:rPr>
        <w:t xml:space="preserve">] </w:t>
      </w:r>
      <w:r>
        <w:rPr>
          <w:rFonts w:hint="eastAsia"/>
          <w:lang w:val="en-US" w:eastAsia="zh-CN"/>
        </w:rPr>
        <w:t>《中华人民共和国安全生产法》</w:t>
      </w:r>
      <w:r>
        <w:rPr>
          <w:rFonts w:hint="eastAsia"/>
          <w:lang w:eastAsia="zh-CN"/>
        </w:rPr>
        <w:t>第三十条　生产经营单位的特种作业人员必须按照国家有关规定经专门的安全作业培训，取得相应资格，方可上岗作业。特种作业人员的范围由国务院应急管理部门会同国务院有关部门确定。</w:t>
      </w:r>
    </w:p>
  </w:footnote>
  <w:footnote w:id="8">
    <w:p w14:paraId="4AC885AF">
      <w:pPr>
        <w:pStyle w:val="9"/>
        <w:keepNext w:val="0"/>
        <w:keepLines w:val="0"/>
        <w:pageBreakBefore w:val="0"/>
        <w:widowControl w:val="0"/>
        <w:kinsoku/>
        <w:wordWrap/>
        <w:overflowPunct/>
        <w:topLinePunct w:val="0"/>
        <w:autoSpaceDN w:val="0"/>
        <w:bidi w:val="0"/>
        <w:adjustRightInd/>
        <w:snapToGrid/>
        <w:spacing w:beforeAutospacing="0" w:afterAutospacing="0" w:line="240" w:lineRule="auto"/>
        <w:ind w:left="0" w:leftChars="0" w:firstLine="0" w:firstLineChars="0"/>
        <w:contextualSpacing/>
        <w:jc w:val="both"/>
        <w:textAlignment w:val="auto"/>
        <w:rPr>
          <w:rFonts w:hint="eastAsia" w:ascii="Times New Roman" w:hAnsi="Times New Roman" w:eastAsia="宋体" w:cs="黑体"/>
          <w:kern w:val="2"/>
          <w:sz w:val="18"/>
          <w:szCs w:val="18"/>
          <w:lang w:val="en-US" w:eastAsia="zh-CN" w:bidi="ar-SA"/>
        </w:rPr>
      </w:pPr>
      <w:r>
        <w:rPr>
          <w:rFonts w:hint="eastAsia" w:ascii="Times New Roman" w:hAnsi="Times New Roman" w:eastAsia="宋体" w:cs="黑体"/>
          <w:kern w:val="2"/>
          <w:sz w:val="18"/>
          <w:szCs w:val="18"/>
          <w:lang w:val="en-US" w:eastAsia="zh-CN" w:bidi="ar-SA"/>
        </w:rPr>
        <w:t>[</w:t>
      </w:r>
      <w:r>
        <w:rPr>
          <w:rFonts w:hint="eastAsia" w:ascii="Times New Roman" w:hAnsi="Times New Roman" w:eastAsia="宋体" w:cs="黑体"/>
          <w:kern w:val="2"/>
          <w:sz w:val="18"/>
          <w:szCs w:val="18"/>
          <w:lang w:val="en-US" w:eastAsia="zh-CN" w:bidi="ar-SA"/>
        </w:rPr>
        <w:footnoteRef/>
      </w:r>
      <w:r>
        <w:rPr>
          <w:rFonts w:hint="eastAsia" w:ascii="Times New Roman" w:hAnsi="Times New Roman" w:eastAsia="宋体" w:cs="黑体"/>
          <w:kern w:val="2"/>
          <w:sz w:val="18"/>
          <w:szCs w:val="18"/>
          <w:lang w:val="en-US" w:eastAsia="zh-CN" w:bidi="ar-SA"/>
        </w:rPr>
        <w:t xml:space="preserve">] </w:t>
      </w:r>
      <w:r>
        <w:rPr>
          <w:rFonts w:hint="default" w:ascii="Times New Roman" w:hAnsi="Times New Roman" w:eastAsia="宋体" w:cs="黑体"/>
          <w:kern w:val="2"/>
          <w:sz w:val="18"/>
          <w:szCs w:val="18"/>
          <w:lang w:val="en-US" w:eastAsia="zh-CN" w:bidi="ar-SA"/>
        </w:rPr>
        <w:t>《中华人民共和国安全生产法》</w:t>
      </w:r>
      <w:r>
        <w:rPr>
          <w:rFonts w:hint="eastAsia" w:ascii="Times New Roman" w:hAnsi="Times New Roman" w:eastAsia="宋体" w:cs="黑体"/>
          <w:kern w:val="2"/>
          <w:sz w:val="18"/>
          <w:szCs w:val="18"/>
          <w:lang w:val="en-US" w:eastAsia="zh-CN" w:bidi="ar-SA"/>
        </w:rPr>
        <w:t>第九十五条</w:t>
      </w:r>
      <w:r>
        <w:rPr>
          <w:rFonts w:hint="eastAsia" w:eastAsia="宋体" w:cs="黑体"/>
          <w:kern w:val="2"/>
          <w:sz w:val="18"/>
          <w:szCs w:val="18"/>
          <w:lang w:val="en-US" w:eastAsia="zh-CN" w:bidi="ar-SA"/>
        </w:rPr>
        <w:t>：</w:t>
      </w:r>
      <w:r>
        <w:rPr>
          <w:rFonts w:hint="eastAsia" w:ascii="Times New Roman" w:hAnsi="Times New Roman" w:eastAsia="宋体" w:cs="黑体"/>
          <w:kern w:val="2"/>
          <w:sz w:val="18"/>
          <w:szCs w:val="18"/>
          <w:lang w:val="en-US" w:eastAsia="zh-CN" w:bidi="ar-SA"/>
        </w:rPr>
        <w:t>生产经营单位的主要负责人未履行本法规定的安全生产管理职责，导致发生生产安全事故的，由应急管理部门依照下列规定处以罚款：（一）发生一般事故的，处上一年年收入百分之四十的罚款；</w:t>
      </w:r>
    </w:p>
  </w:footnote>
  <w:footnote w:id="9">
    <w:p w14:paraId="31369D15">
      <w:pPr>
        <w:pStyle w:val="9"/>
        <w:keepNext w:val="0"/>
        <w:keepLines w:val="0"/>
        <w:pageBreakBefore w:val="0"/>
        <w:widowControl w:val="0"/>
        <w:kinsoku/>
        <w:wordWrap/>
        <w:overflowPunct/>
        <w:topLinePunct w:val="0"/>
        <w:autoSpaceDN w:val="0"/>
        <w:bidi w:val="0"/>
        <w:adjustRightInd/>
        <w:snapToGrid/>
        <w:spacing w:beforeAutospacing="0" w:afterAutospacing="0" w:line="240" w:lineRule="auto"/>
        <w:ind w:left="0" w:leftChars="0" w:firstLine="0" w:firstLineChars="0"/>
        <w:contextualSpacing/>
        <w:jc w:val="both"/>
        <w:textAlignment w:val="auto"/>
        <w:rPr>
          <w:rFonts w:hint="eastAsia" w:ascii="Times New Roman" w:hAnsi="Times New Roman" w:eastAsia="宋体" w:cs="黑体"/>
          <w:kern w:val="2"/>
          <w:sz w:val="18"/>
          <w:szCs w:val="18"/>
          <w:lang w:val="en-US" w:eastAsia="zh-CN" w:bidi="ar-SA"/>
        </w:rPr>
      </w:pPr>
      <w:r>
        <w:rPr>
          <w:rFonts w:hint="eastAsia" w:ascii="Times New Roman" w:hAnsi="Times New Roman" w:eastAsia="宋体" w:cs="黑体"/>
          <w:kern w:val="2"/>
          <w:sz w:val="18"/>
          <w:szCs w:val="18"/>
          <w:lang w:val="en-US" w:eastAsia="zh-CN" w:bidi="ar-SA"/>
        </w:rPr>
        <w:t>[</w:t>
      </w:r>
      <w:r>
        <w:rPr>
          <w:rFonts w:hint="eastAsia" w:ascii="Times New Roman" w:hAnsi="Times New Roman" w:eastAsia="宋体" w:cs="黑体"/>
          <w:kern w:val="2"/>
          <w:sz w:val="18"/>
          <w:szCs w:val="18"/>
          <w:lang w:val="en-US" w:eastAsia="zh-CN" w:bidi="ar-SA"/>
        </w:rPr>
        <w:footnoteRef/>
      </w:r>
      <w:r>
        <w:rPr>
          <w:rFonts w:hint="eastAsia" w:ascii="Times New Roman" w:hAnsi="Times New Roman" w:eastAsia="宋体" w:cs="黑体"/>
          <w:kern w:val="2"/>
          <w:sz w:val="18"/>
          <w:szCs w:val="18"/>
          <w:lang w:val="en-US" w:eastAsia="zh-CN" w:bidi="ar-SA"/>
        </w:rPr>
        <w:t>]</w:t>
      </w:r>
      <w:r>
        <w:rPr>
          <w:rFonts w:hint="default" w:ascii="Times New Roman" w:hAnsi="Times New Roman" w:eastAsia="宋体" w:cs="黑体"/>
          <w:kern w:val="2"/>
          <w:sz w:val="18"/>
          <w:szCs w:val="18"/>
          <w:lang w:val="en-US" w:eastAsia="zh-CN" w:bidi="ar-SA"/>
        </w:rPr>
        <w:t>《中华人民共和国安全生产法》</w:t>
      </w:r>
      <w:r>
        <w:rPr>
          <w:rFonts w:hint="eastAsia" w:ascii="Times New Roman" w:hAnsi="Times New Roman" w:eastAsia="宋体" w:cs="黑体"/>
          <w:kern w:val="2"/>
          <w:sz w:val="18"/>
          <w:szCs w:val="18"/>
          <w:lang w:val="en-US" w:eastAsia="zh-CN" w:bidi="ar-SA"/>
        </w:rPr>
        <w:t xml:space="preserve"> 第一百一十四条：发生生产安全事故，对负有责任的生产经营单位除要求其依法承担相应的赔偿等责任外，由应急管理部门依照下列规定处以罚款：（一）发生一般事故的，处三十万元以上一百万元以下的罚款；</w:t>
      </w:r>
    </w:p>
    <w:p w14:paraId="0CAA0DF1">
      <w:pPr>
        <w:pStyle w:val="9"/>
        <w:keepNext w:val="0"/>
        <w:keepLines w:val="0"/>
        <w:pageBreakBefore w:val="0"/>
        <w:widowControl w:val="0"/>
        <w:kinsoku/>
        <w:wordWrap/>
        <w:overflowPunct/>
        <w:topLinePunct w:val="0"/>
        <w:autoSpaceDN w:val="0"/>
        <w:bidi w:val="0"/>
        <w:adjustRightInd/>
        <w:snapToGrid/>
        <w:spacing w:beforeAutospacing="0" w:afterAutospacing="0" w:line="240" w:lineRule="auto"/>
        <w:ind w:left="0" w:leftChars="0" w:firstLine="0" w:firstLineChars="0"/>
        <w:contextualSpacing/>
        <w:jc w:val="both"/>
        <w:textAlignment w:val="auto"/>
        <w:rPr>
          <w:rFonts w:hint="eastAsia" w:ascii="Times New Roman" w:hAnsi="Times New Roman" w:eastAsia="宋体" w:cs="黑体"/>
          <w:kern w:val="2"/>
          <w:sz w:val="18"/>
          <w:szCs w:val="18"/>
          <w:lang w:val="en-US" w:eastAsia="zh-CN" w:bidi="ar-S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C05">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C55C">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9AD5">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0"/>
    <w:footnote w:id="2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9723B7"/>
    <w:rsid w:val="00673B11"/>
    <w:rsid w:val="006E6686"/>
    <w:rsid w:val="02BA36E5"/>
    <w:rsid w:val="03710AF1"/>
    <w:rsid w:val="04531116"/>
    <w:rsid w:val="0468680A"/>
    <w:rsid w:val="05663F59"/>
    <w:rsid w:val="05F11A75"/>
    <w:rsid w:val="068F7430"/>
    <w:rsid w:val="06BA455D"/>
    <w:rsid w:val="076831BC"/>
    <w:rsid w:val="08292FF6"/>
    <w:rsid w:val="09832833"/>
    <w:rsid w:val="0A804319"/>
    <w:rsid w:val="0B4E0D82"/>
    <w:rsid w:val="0B995282"/>
    <w:rsid w:val="0BB73761"/>
    <w:rsid w:val="0C173F44"/>
    <w:rsid w:val="0C5B40EC"/>
    <w:rsid w:val="0C7645BE"/>
    <w:rsid w:val="0C8979CD"/>
    <w:rsid w:val="0D7056C0"/>
    <w:rsid w:val="0DC67C8B"/>
    <w:rsid w:val="0DFA7935"/>
    <w:rsid w:val="0E1E7AC7"/>
    <w:rsid w:val="0F6459AD"/>
    <w:rsid w:val="101A606C"/>
    <w:rsid w:val="10482BD9"/>
    <w:rsid w:val="10B97633"/>
    <w:rsid w:val="120314AE"/>
    <w:rsid w:val="13525B1D"/>
    <w:rsid w:val="14B95815"/>
    <w:rsid w:val="15973CBB"/>
    <w:rsid w:val="16BC2CCD"/>
    <w:rsid w:val="1AD11A1D"/>
    <w:rsid w:val="1B2E6E70"/>
    <w:rsid w:val="1BF73705"/>
    <w:rsid w:val="1C465D28"/>
    <w:rsid w:val="1D412E8A"/>
    <w:rsid w:val="1EF85237"/>
    <w:rsid w:val="20276E08"/>
    <w:rsid w:val="20C10025"/>
    <w:rsid w:val="228201CD"/>
    <w:rsid w:val="23045086"/>
    <w:rsid w:val="252C2672"/>
    <w:rsid w:val="25CB59E7"/>
    <w:rsid w:val="25E5572A"/>
    <w:rsid w:val="263B7010"/>
    <w:rsid w:val="26656E0B"/>
    <w:rsid w:val="27441EF5"/>
    <w:rsid w:val="28A92D7A"/>
    <w:rsid w:val="28DB4FEB"/>
    <w:rsid w:val="291122AA"/>
    <w:rsid w:val="29D032EE"/>
    <w:rsid w:val="2B786B43"/>
    <w:rsid w:val="2B795EE5"/>
    <w:rsid w:val="2BE24768"/>
    <w:rsid w:val="2EC12DE1"/>
    <w:rsid w:val="30954016"/>
    <w:rsid w:val="31D532A7"/>
    <w:rsid w:val="321D581C"/>
    <w:rsid w:val="33616063"/>
    <w:rsid w:val="34394463"/>
    <w:rsid w:val="354A27EA"/>
    <w:rsid w:val="35C42453"/>
    <w:rsid w:val="35D139AE"/>
    <w:rsid w:val="35F72828"/>
    <w:rsid w:val="36381256"/>
    <w:rsid w:val="383E473E"/>
    <w:rsid w:val="3AF83416"/>
    <w:rsid w:val="3B20637D"/>
    <w:rsid w:val="3C632381"/>
    <w:rsid w:val="3C9723B7"/>
    <w:rsid w:val="3D5A3DC8"/>
    <w:rsid w:val="3E0E2F7F"/>
    <w:rsid w:val="40312349"/>
    <w:rsid w:val="407630D6"/>
    <w:rsid w:val="40BC4452"/>
    <w:rsid w:val="40ED0BD9"/>
    <w:rsid w:val="411918A4"/>
    <w:rsid w:val="411E1F16"/>
    <w:rsid w:val="411F31CB"/>
    <w:rsid w:val="42DA6266"/>
    <w:rsid w:val="432B1D63"/>
    <w:rsid w:val="435306CC"/>
    <w:rsid w:val="436E0670"/>
    <w:rsid w:val="44103433"/>
    <w:rsid w:val="45617CBE"/>
    <w:rsid w:val="472965B9"/>
    <w:rsid w:val="48BF5427"/>
    <w:rsid w:val="493362ED"/>
    <w:rsid w:val="49BA5CEC"/>
    <w:rsid w:val="4B125CE2"/>
    <w:rsid w:val="4C4B0258"/>
    <w:rsid w:val="4C560F29"/>
    <w:rsid w:val="4DA60964"/>
    <w:rsid w:val="503C7295"/>
    <w:rsid w:val="51166299"/>
    <w:rsid w:val="527A5F1B"/>
    <w:rsid w:val="52E54C7C"/>
    <w:rsid w:val="53B95BDB"/>
    <w:rsid w:val="54CF0597"/>
    <w:rsid w:val="54F14BBA"/>
    <w:rsid w:val="55895936"/>
    <w:rsid w:val="571A24AF"/>
    <w:rsid w:val="582B2191"/>
    <w:rsid w:val="59916628"/>
    <w:rsid w:val="59B259A0"/>
    <w:rsid w:val="5B372BE6"/>
    <w:rsid w:val="5BAD55B3"/>
    <w:rsid w:val="5C8207EE"/>
    <w:rsid w:val="5EDB0EAF"/>
    <w:rsid w:val="5F280C5C"/>
    <w:rsid w:val="612B3202"/>
    <w:rsid w:val="626D0920"/>
    <w:rsid w:val="62DB47B4"/>
    <w:rsid w:val="63E62F20"/>
    <w:rsid w:val="64966BE4"/>
    <w:rsid w:val="653D3504"/>
    <w:rsid w:val="66356F3C"/>
    <w:rsid w:val="684B1F71"/>
    <w:rsid w:val="68F94DB4"/>
    <w:rsid w:val="69847393"/>
    <w:rsid w:val="699B4072"/>
    <w:rsid w:val="69D361E5"/>
    <w:rsid w:val="6A357D4F"/>
    <w:rsid w:val="6BD65847"/>
    <w:rsid w:val="6C5125EA"/>
    <w:rsid w:val="6C8901EB"/>
    <w:rsid w:val="6D1D512E"/>
    <w:rsid w:val="6ED924EF"/>
    <w:rsid w:val="6EE175F6"/>
    <w:rsid w:val="6F2D283B"/>
    <w:rsid w:val="6F2E3CDC"/>
    <w:rsid w:val="6F9F5C8B"/>
    <w:rsid w:val="6FB24AEE"/>
    <w:rsid w:val="719B7F30"/>
    <w:rsid w:val="7200247B"/>
    <w:rsid w:val="727A7B45"/>
    <w:rsid w:val="73CC17BE"/>
    <w:rsid w:val="74393A30"/>
    <w:rsid w:val="74D70440"/>
    <w:rsid w:val="74DC70EE"/>
    <w:rsid w:val="75947170"/>
    <w:rsid w:val="761F2516"/>
    <w:rsid w:val="781F68FB"/>
    <w:rsid w:val="795310F0"/>
    <w:rsid w:val="7A85177D"/>
    <w:rsid w:val="7B971768"/>
    <w:rsid w:val="7B9C6BF3"/>
    <w:rsid w:val="7BAC2D3A"/>
    <w:rsid w:val="7BB42114"/>
    <w:rsid w:val="7BC743B1"/>
    <w:rsid w:val="7C3C581D"/>
    <w:rsid w:val="7DB36601"/>
    <w:rsid w:val="7E453AB3"/>
    <w:rsid w:val="7E755665"/>
    <w:rsid w:val="7E8C6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qFormat/>
    <w:uiPriority w:val="0"/>
    <w:pPr>
      <w:keepNext/>
      <w:keepLines/>
      <w:ind w:firstLine="643"/>
      <w:outlineLvl w:val="0"/>
    </w:pPr>
    <w:rPr>
      <w:rFonts w:ascii="Calibri" w:hAnsi="Calibri" w:eastAsia="黑体" w:cs="黑体"/>
      <w:kern w:val="44"/>
    </w:rPr>
  </w:style>
  <w:style w:type="paragraph" w:styleId="3">
    <w:name w:val="heading 2"/>
    <w:basedOn w:val="1"/>
    <w:next w:val="1"/>
    <w:qFormat/>
    <w:uiPriority w:val="0"/>
    <w:pPr>
      <w:keepNext/>
      <w:keepLines/>
      <w:outlineLvl w:val="1"/>
    </w:pPr>
    <w:rPr>
      <w:rFonts w:ascii="等线 Light" w:hAnsi="等线 Light" w:eastAsia="楷体" w:cs="黑体"/>
      <w:bCs/>
      <w:kern w:val="0"/>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rPr>
      <w:rFonts w:ascii="仿宋" w:hAnsi="仿宋" w:eastAsia="仿宋" w:cs="仿宋"/>
      <w:sz w:val="32"/>
    </w:rPr>
  </w:style>
  <w:style w:type="paragraph" w:styleId="5">
    <w:name w:val="Body Text Indent"/>
    <w:basedOn w:val="1"/>
    <w:qFormat/>
    <w:uiPriority w:val="0"/>
    <w:pPr>
      <w:spacing w:after="120" w:afterLines="0" w:afterAutospacing="0"/>
      <w:ind w:left="420" w:leftChars="200"/>
    </w:pPr>
  </w:style>
  <w:style w:type="paragraph" w:styleId="6">
    <w:name w:val="footer"/>
    <w:basedOn w:val="1"/>
    <w:qFormat/>
    <w:uiPriority w:val="99"/>
    <w:pPr>
      <w:tabs>
        <w:tab w:val="center" w:pos="4153"/>
        <w:tab w:val="right" w:pos="8306"/>
      </w:tabs>
      <w:snapToGrid w:val="0"/>
      <w:jc w:val="left"/>
    </w:pPr>
    <w:rPr>
      <w:rFonts w:ascii="Calibri" w:hAnsi="Calibri" w:eastAsia="宋体" w:cs="黑体"/>
      <w:kern w:val="0"/>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rFonts w:ascii="Calibri" w:hAnsi="Calibri" w:eastAsia="宋体" w:cs="黑体"/>
      <w:kern w:val="0"/>
      <w:sz w:val="18"/>
      <w:szCs w:val="18"/>
    </w:rPr>
  </w:style>
  <w:style w:type="paragraph" w:styleId="8">
    <w:name w:val="footnote text"/>
    <w:basedOn w:val="1"/>
    <w:qFormat/>
    <w:uiPriority w:val="0"/>
    <w:pPr>
      <w:snapToGrid w:val="0"/>
      <w:spacing w:line="240" w:lineRule="auto"/>
      <w:ind w:firstLine="0" w:firstLineChars="0"/>
    </w:pPr>
    <w:rPr>
      <w:rFonts w:eastAsia="宋体" w:cs="黑体"/>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5"/>
    <w:qFormat/>
    <w:uiPriority w:val="0"/>
    <w:pPr>
      <w:ind w:firstLine="420" w:firstLineChars="200"/>
    </w:pPr>
  </w:style>
  <w:style w:type="character" w:styleId="13">
    <w:name w:val="Strong"/>
    <w:basedOn w:val="12"/>
    <w:qFormat/>
    <w:uiPriority w:val="0"/>
    <w:rPr>
      <w:b/>
    </w:rPr>
  </w:style>
  <w:style w:type="character" w:styleId="14">
    <w:name w:val="footnote reference"/>
    <w:basedOn w:val="12"/>
    <w:qFormat/>
    <w:uiPriority w:val="0"/>
    <w:rPr>
      <w:rFonts w:ascii="Times New Roman" w:hAnsi="Times New Roman" w:eastAsia="宋体"/>
      <w:sz w:val="21"/>
      <w:vertAlign w:val="superscript"/>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5216</Words>
  <Characters>5411</Characters>
  <Lines>0</Lines>
  <Paragraphs>0</Paragraphs>
  <TotalTime>3</TotalTime>
  <ScaleCrop>false</ScaleCrop>
  <LinksUpToDate>false</LinksUpToDate>
  <CharactersWithSpaces>5689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2025-02-24T06:58:00Z</dcterms:created>
  <dc:creator> 菌菌</dc:creator>
  <cp:lastModifiedBy> 菌菌</cp:lastModifiedBy>
  <cp:lastPrinted>2025-04-09T01:22:00Z</cp:lastPrinted>
  <dcterms:modified xsi:type="dcterms:W3CDTF">2025-04-21T08:11:57Z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A6CA18FB83C74CCF95B99E66BB4467ED_13</vt:lpwstr>
  </property>
  <property fmtid="{D5CDD505-2E9C-101B-9397-08002B2CF9AE}" pid="4" name="KSOTemplateDocerSaveRecord">
    <vt:lpwstr>eyJoZGlkIjoiOTAxYjRlYjQyOGRhZjA4N2ZjMTdhNzhmMGRmNTAxMzYiLCJ1c2VySWQiOiI2NTYyODU4NTIifQ==</vt:lpwstr>
  </property>
</Properties>
</file>